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70D0" w:rsidRPr="0042029E" w:rsidRDefault="00AA70D0" w:rsidP="00AA70D0">
      <w:pPr>
        <w:pStyle w:val="Normalnumber"/>
        <w:numPr>
          <w:ilvl w:val="0"/>
          <w:numId w:val="0"/>
        </w:numPr>
        <w:tabs>
          <w:tab w:val="clear" w:pos="624"/>
        </w:tabs>
        <w:bidi/>
        <w:spacing w:line="400" w:lineRule="exact"/>
        <w:ind w:left="1133"/>
        <w:jc w:val="both"/>
        <w:rPr>
          <w:b/>
          <w:bCs/>
          <w:szCs w:val="32"/>
          <w:rtl/>
          <w:lang w:eastAsia="zh-TW"/>
        </w:rPr>
      </w:pPr>
      <w:r w:rsidRPr="0042029E">
        <w:rPr>
          <w:rFonts w:hint="cs"/>
          <w:b/>
          <w:bCs/>
          <w:szCs w:val="32"/>
          <w:rtl/>
          <w:lang w:eastAsia="zh-TW" w:bidi="ar-EG"/>
        </w:rPr>
        <w:t>ا</w:t>
      </w:r>
      <w:r>
        <w:rPr>
          <w:rFonts w:hint="cs"/>
          <w:b/>
          <w:bCs/>
          <w:szCs w:val="32"/>
          <w:rtl/>
          <w:lang w:eastAsia="zh-TW" w:bidi="ar-EG"/>
        </w:rPr>
        <w:t xml:space="preserve"> ر</w:t>
      </w:r>
      <w:r w:rsidRPr="0042029E">
        <w:rPr>
          <w:rFonts w:hint="cs"/>
          <w:b/>
          <w:bCs/>
          <w:szCs w:val="32"/>
          <w:rtl/>
          <w:lang w:eastAsia="zh-TW" w:bidi="ar-EG"/>
        </w:rPr>
        <w:t>-9/1</w:t>
      </w:r>
      <w:r>
        <w:rPr>
          <w:rFonts w:hint="cs"/>
          <w:b/>
          <w:bCs/>
          <w:szCs w:val="32"/>
          <w:rtl/>
          <w:lang w:eastAsia="zh-TW" w:bidi="ar-EG"/>
        </w:rPr>
        <w:t>:</w:t>
      </w:r>
      <w:r w:rsidRPr="0042029E">
        <w:rPr>
          <w:rFonts w:hint="cs"/>
          <w:b/>
          <w:bCs/>
          <w:szCs w:val="32"/>
          <w:rtl/>
          <w:lang w:eastAsia="zh-TW" w:bidi="ar-EG"/>
        </w:rPr>
        <w:t xml:space="preserve"> </w:t>
      </w:r>
      <w:r w:rsidRPr="009C1220">
        <w:rPr>
          <w:b/>
          <w:bCs/>
          <w:szCs w:val="32"/>
          <w:rtl/>
          <w:lang w:eastAsia="zh-TW"/>
        </w:rPr>
        <w:t>حالة تنفيذ الاتفاقية</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i/>
          <w:iCs/>
          <w:szCs w:val="30"/>
          <w:rtl/>
        </w:rPr>
        <w:t>إن مؤتمر الأطراف،</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hint="cs"/>
          <w:szCs w:val="30"/>
          <w:rtl/>
        </w:rPr>
        <w:t>1 -</w:t>
      </w:r>
      <w:r w:rsidRPr="00A51004">
        <w:rPr>
          <w:rFonts w:cs="Traditional Arabic"/>
          <w:szCs w:val="30"/>
          <w:rtl/>
        </w:rPr>
        <w:tab/>
      </w:r>
      <w:r w:rsidRPr="00A51004">
        <w:rPr>
          <w:rFonts w:cs="Traditional Arabic"/>
          <w:i/>
          <w:iCs/>
          <w:szCs w:val="30"/>
          <w:rtl/>
        </w:rPr>
        <w:t>يحيط علماً</w:t>
      </w:r>
      <w:r w:rsidRPr="00A51004">
        <w:rPr>
          <w:rFonts w:cs="Traditional Arabic"/>
          <w:szCs w:val="30"/>
          <w:rtl/>
        </w:rPr>
        <w:t xml:space="preserve"> بالمعلومات التي قُدمت عن حالة تنفيذ اتفاقية</w:t>
      </w:r>
      <w:r>
        <w:rPr>
          <w:rFonts w:cs="Traditional Arabic" w:hint="cs"/>
          <w:szCs w:val="30"/>
          <w:vertAlign w:val="superscript"/>
          <w:rtl/>
        </w:rPr>
        <w:t xml:space="preserve"> </w:t>
      </w:r>
      <w:r>
        <w:rPr>
          <w:rFonts w:cs="Traditional Arabic" w:hint="cs"/>
          <w:szCs w:val="30"/>
          <w:rtl/>
        </w:rPr>
        <w:t>روتردام المتعلقة</w:t>
      </w:r>
      <w:r w:rsidRPr="000C2B73">
        <w:rPr>
          <w:rFonts w:cs="Traditional Arabic"/>
          <w:szCs w:val="30"/>
          <w:rtl/>
          <w:lang w:eastAsia="zh-TW"/>
        </w:rPr>
        <w:t xml:space="preserve"> </w:t>
      </w:r>
      <w:r w:rsidRPr="000C2B73">
        <w:rPr>
          <w:rFonts w:cs="Traditional Arabic"/>
          <w:szCs w:val="30"/>
          <w:rtl/>
        </w:rPr>
        <w:t>بتطبيق إجراء الموافقة المسبقة عن علم على مواد كيميائية ومبيدات آفات معينة خطرة متداولة في التجارة الدولية</w:t>
      </w:r>
      <w:r>
        <w:rPr>
          <w:rFonts w:cs="Traditional Arabic" w:hint="cs"/>
          <w:szCs w:val="30"/>
          <w:rtl/>
        </w:rPr>
        <w:t>؛</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hint="cs"/>
          <w:szCs w:val="30"/>
          <w:rtl/>
        </w:rPr>
        <w:t>2 -</w:t>
      </w:r>
      <w:r w:rsidRPr="00A51004">
        <w:rPr>
          <w:rFonts w:cs="Traditional Arabic"/>
          <w:szCs w:val="30"/>
          <w:rtl/>
        </w:rPr>
        <w:tab/>
      </w:r>
      <w:r w:rsidRPr="00A51004">
        <w:rPr>
          <w:rFonts w:cs="Traditional Arabic"/>
          <w:i/>
          <w:iCs/>
          <w:szCs w:val="30"/>
          <w:rtl/>
        </w:rPr>
        <w:t>يشجِّع</w:t>
      </w:r>
      <w:r w:rsidRPr="00A51004">
        <w:rPr>
          <w:rFonts w:cs="Traditional Arabic"/>
          <w:szCs w:val="30"/>
          <w:rtl/>
        </w:rPr>
        <w:t xml:space="preserve"> الأطراف على القيام بما يلي:</w:t>
      </w:r>
    </w:p>
    <w:p w:rsidR="00AA70D0"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(أ)</w:t>
      </w:r>
      <w:r w:rsidRPr="00A51004">
        <w:rPr>
          <w:rFonts w:cs="Traditional Arabic"/>
          <w:szCs w:val="30"/>
          <w:rtl/>
        </w:rPr>
        <w:tab/>
        <w:t>أن تعتمد في أقرب وقت ممكن تعريفاً وطنياً لمصطلح ’’مبيدات الآفات‘‘، إذا لم تكن قد فعلت ذلك بعد، وأن تطلب إلى الأمانة تقديم المساعدة التقنية في حال واجهت صعوبات في القيام بذلك، وي</w:t>
      </w:r>
      <w:r w:rsidRPr="00A51004">
        <w:rPr>
          <w:rFonts w:cs="Traditional Arabic" w:hint="cs"/>
          <w:szCs w:val="30"/>
          <w:rtl/>
        </w:rPr>
        <w:t>ُ</w:t>
      </w:r>
      <w:r w:rsidRPr="00A51004">
        <w:rPr>
          <w:rFonts w:cs="Traditional Arabic"/>
          <w:szCs w:val="30"/>
          <w:rtl/>
        </w:rPr>
        <w:t>ذ</w:t>
      </w:r>
      <w:r w:rsidRPr="00A51004">
        <w:rPr>
          <w:rFonts w:cs="Traditional Arabic" w:hint="cs"/>
          <w:szCs w:val="30"/>
          <w:rtl/>
        </w:rPr>
        <w:t>َ</w:t>
      </w:r>
      <w:r w:rsidRPr="00A51004">
        <w:rPr>
          <w:rFonts w:cs="Traditional Arabic"/>
          <w:szCs w:val="30"/>
          <w:rtl/>
        </w:rPr>
        <w:t>ك</w:t>
      </w:r>
      <w:r w:rsidRPr="00A51004">
        <w:rPr>
          <w:rFonts w:cs="Traditional Arabic" w:hint="cs"/>
          <w:szCs w:val="30"/>
          <w:rtl/>
        </w:rPr>
        <w:t>ِّ</w:t>
      </w:r>
      <w:r w:rsidRPr="00A51004">
        <w:rPr>
          <w:rFonts w:cs="Traditional Arabic"/>
          <w:szCs w:val="30"/>
          <w:rtl/>
        </w:rPr>
        <w:t xml:space="preserve">ر الأطراف بوجود تعريف لهذا المصطلح في </w:t>
      </w:r>
      <w:r w:rsidRPr="00A51004">
        <w:rPr>
          <w:rFonts w:cs="Traditional Arabic"/>
          <w:i/>
          <w:iCs/>
          <w:szCs w:val="30"/>
          <w:rtl/>
        </w:rPr>
        <w:t>مدونة قواعد السلوك الدولية بشأن إدارة مبيدات الآفات</w:t>
      </w:r>
      <w:r w:rsidRPr="00A51004">
        <w:rPr>
          <w:rFonts w:cs="Traditional Arabic"/>
          <w:szCs w:val="30"/>
          <w:rtl/>
        </w:rPr>
        <w:t>؛</w:t>
      </w:r>
    </w:p>
    <w:p w:rsidR="00AA70D0"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Pr>
          <w:rFonts w:cs="Traditional Arabic" w:hint="cs"/>
          <w:szCs w:val="30"/>
          <w:rtl/>
        </w:rPr>
        <w:t>(ب)</w:t>
      </w:r>
      <w:r>
        <w:rPr>
          <w:rFonts w:cs="Traditional Arabic"/>
          <w:szCs w:val="30"/>
          <w:rtl/>
        </w:rPr>
        <w:tab/>
      </w:r>
      <w:r w:rsidRPr="00681075">
        <w:rPr>
          <w:rFonts w:cs="Traditional Arabic"/>
          <w:szCs w:val="30"/>
          <w:rtl/>
        </w:rPr>
        <w:t xml:space="preserve">إبلاغ </w:t>
      </w:r>
      <w:r>
        <w:rPr>
          <w:rFonts w:cs="Traditional Arabic" w:hint="cs"/>
          <w:szCs w:val="30"/>
          <w:rtl/>
        </w:rPr>
        <w:t>ا</w:t>
      </w:r>
      <w:r w:rsidRPr="00681075">
        <w:rPr>
          <w:rFonts w:cs="Traditional Arabic"/>
          <w:szCs w:val="30"/>
          <w:rtl/>
        </w:rPr>
        <w:t xml:space="preserve">لأمانة </w:t>
      </w:r>
      <w:r>
        <w:rPr>
          <w:rFonts w:cs="Traditional Arabic" w:hint="cs"/>
          <w:szCs w:val="30"/>
          <w:rtl/>
        </w:rPr>
        <w:t>ب</w:t>
      </w:r>
      <w:r w:rsidRPr="00681075">
        <w:rPr>
          <w:rFonts w:cs="Traditional Arabic"/>
          <w:szCs w:val="30"/>
          <w:rtl/>
        </w:rPr>
        <w:t xml:space="preserve">التعريف الوطني </w:t>
      </w:r>
      <w:r>
        <w:rPr>
          <w:rFonts w:cs="Traditional Arabic" w:hint="cs"/>
          <w:szCs w:val="30"/>
          <w:rtl/>
        </w:rPr>
        <w:t>لمصطلح ’’مبيد الآفات‘‘</w:t>
      </w:r>
      <w:r w:rsidRPr="00681075">
        <w:rPr>
          <w:rFonts w:cs="Traditional Arabic"/>
          <w:szCs w:val="30"/>
          <w:rtl/>
        </w:rPr>
        <w:t>؛</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Pr>
          <w:rFonts w:cs="Traditional Arabic" w:hint="cs"/>
          <w:szCs w:val="30"/>
          <w:rtl/>
        </w:rPr>
        <w:t>(ج)</w:t>
      </w:r>
      <w:r>
        <w:rPr>
          <w:rFonts w:cs="Traditional Arabic"/>
          <w:szCs w:val="30"/>
          <w:rtl/>
        </w:rPr>
        <w:tab/>
      </w:r>
      <w:r w:rsidRPr="004A3D63">
        <w:rPr>
          <w:rFonts w:cs="Traditional Arabic"/>
          <w:szCs w:val="30"/>
          <w:rtl/>
        </w:rPr>
        <w:t>أن يأخذ في الاعتبار الاختلافات بين الأطراف في تعريف مصطلح</w:t>
      </w:r>
      <w:r>
        <w:rPr>
          <w:rFonts w:cs="Traditional Arabic" w:hint="cs"/>
          <w:szCs w:val="30"/>
          <w:rtl/>
        </w:rPr>
        <w:t xml:space="preserve"> ’’مبيد الآفات‘‘</w:t>
      </w:r>
      <w:r w:rsidRPr="004A3D63">
        <w:rPr>
          <w:rFonts w:cs="Traditional Arabic"/>
          <w:szCs w:val="30"/>
          <w:rtl/>
        </w:rPr>
        <w:t xml:space="preserve"> في اتصالاتها مع الأطراف الأخرى من خلال </w:t>
      </w:r>
      <w:r>
        <w:rPr>
          <w:rFonts w:cs="Traditional Arabic" w:hint="cs"/>
          <w:szCs w:val="30"/>
          <w:rtl/>
        </w:rPr>
        <w:t>إخطارات</w:t>
      </w:r>
      <w:r w:rsidRPr="004A3D63">
        <w:rPr>
          <w:rFonts w:cs="Traditional Arabic"/>
          <w:szCs w:val="30"/>
          <w:rtl/>
        </w:rPr>
        <w:t xml:space="preserve"> </w:t>
      </w:r>
      <w:r>
        <w:rPr>
          <w:rFonts w:cs="Traditional Arabic" w:hint="cs"/>
          <w:szCs w:val="30"/>
          <w:rtl/>
        </w:rPr>
        <w:t>ا</w:t>
      </w:r>
      <w:r w:rsidRPr="004A3D63">
        <w:rPr>
          <w:rFonts w:cs="Traditional Arabic"/>
          <w:szCs w:val="30"/>
          <w:rtl/>
        </w:rPr>
        <w:t xml:space="preserve">لتصدير </w:t>
      </w:r>
      <w:r>
        <w:rPr>
          <w:rFonts w:cs="Traditional Arabic" w:hint="cs"/>
          <w:szCs w:val="30"/>
          <w:rtl/>
        </w:rPr>
        <w:t>و</w:t>
      </w:r>
      <w:r w:rsidRPr="004A3D63">
        <w:rPr>
          <w:rFonts w:cs="Traditional Arabic"/>
          <w:szCs w:val="30"/>
          <w:rtl/>
        </w:rPr>
        <w:t>استجابات الاستيراد؛</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w:t>
      </w:r>
      <w:r>
        <w:rPr>
          <w:rFonts w:cs="Traditional Arabic" w:hint="cs"/>
          <w:szCs w:val="30"/>
          <w:rtl/>
        </w:rPr>
        <w:t>د</w:t>
      </w:r>
      <w:r w:rsidRPr="00A51004">
        <w:rPr>
          <w:rFonts w:cs="Traditional Arabic"/>
          <w:szCs w:val="30"/>
          <w:rtl/>
        </w:rPr>
        <w:t>)</w:t>
      </w:r>
      <w:r w:rsidRPr="00A51004">
        <w:rPr>
          <w:rFonts w:cs="Traditional Arabic"/>
          <w:szCs w:val="30"/>
          <w:rtl/>
        </w:rPr>
        <w:tab/>
        <w:t>ضمان التنفيذ الفعال لاتفاقية</w:t>
      </w:r>
      <w:r>
        <w:rPr>
          <w:rFonts w:cs="Traditional Arabic" w:hint="cs"/>
          <w:szCs w:val="30"/>
          <w:rtl/>
        </w:rPr>
        <w:t xml:space="preserve"> روتردام</w:t>
      </w:r>
      <w:r w:rsidRPr="00A51004">
        <w:rPr>
          <w:rFonts w:cs="Traditional Arabic"/>
          <w:szCs w:val="30"/>
          <w:rtl/>
        </w:rPr>
        <w:t>، ولا</w:t>
      </w:r>
      <w:r w:rsidRPr="00A51004">
        <w:rPr>
          <w:rFonts w:cs="Traditional Arabic" w:hint="cs"/>
          <w:szCs w:val="30"/>
          <w:rtl/>
        </w:rPr>
        <w:t> </w:t>
      </w:r>
      <w:r w:rsidRPr="00A51004">
        <w:rPr>
          <w:rFonts w:cs="Traditional Arabic"/>
          <w:szCs w:val="30"/>
          <w:rtl/>
        </w:rPr>
        <w:t>سيما المواد ٥ و٦ و١٠، من خلال تقديم إخطارات بالإجراءات التنظيمية النهائية، ومقترحات لإدراج تركيبات مبيدات آفات شديدة الخطورة وردود متعلقة بالاستيراد بخصوص مواد كيميائية مدرجة؛</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w:t>
      </w:r>
      <w:r>
        <w:rPr>
          <w:rFonts w:cs="Traditional Arabic" w:hint="cs"/>
          <w:szCs w:val="30"/>
          <w:rtl/>
        </w:rPr>
        <w:t>ه</w:t>
      </w:r>
      <w:r w:rsidRPr="00A51004">
        <w:rPr>
          <w:rFonts w:cs="Traditional Arabic"/>
          <w:szCs w:val="30"/>
          <w:rtl/>
        </w:rPr>
        <w:t>)</w:t>
      </w:r>
      <w:r w:rsidRPr="00A51004">
        <w:rPr>
          <w:rFonts w:cs="Traditional Arabic"/>
          <w:szCs w:val="30"/>
          <w:rtl/>
        </w:rPr>
        <w:tab/>
        <w:t xml:space="preserve">استخدام مجموعة أدوات تقييم الإجراءات التنظيمية النهائية، ومجموعة أدوات </w:t>
      </w:r>
      <w:r w:rsidRPr="00A51004">
        <w:rPr>
          <w:rFonts w:cs="Traditional Arabic" w:hint="cs"/>
          <w:szCs w:val="30"/>
          <w:rtl/>
        </w:rPr>
        <w:t>اتخاذ</w:t>
      </w:r>
      <w:r w:rsidRPr="00A51004">
        <w:rPr>
          <w:rFonts w:cs="Traditional Arabic"/>
          <w:szCs w:val="30"/>
          <w:rtl/>
        </w:rPr>
        <w:t xml:space="preserve"> القرارات في مجال إدارة المواد الكيميائية</w:t>
      </w:r>
      <w:r w:rsidRPr="00A51004">
        <w:rPr>
          <w:rFonts w:cs="Traditional Arabic" w:hint="cs"/>
          <w:szCs w:val="30"/>
          <w:rtl/>
        </w:rPr>
        <w:t>،</w:t>
      </w:r>
      <w:r w:rsidRPr="00A51004">
        <w:rPr>
          <w:rFonts w:cs="Traditional Arabic"/>
          <w:szCs w:val="30"/>
          <w:rtl/>
        </w:rPr>
        <w:t xml:space="preserve"> الصادرة عن البرنامج المشترك بين المنظمات للإدارة السليمة للمواد الكيميائية، وغيرها من الأدوات ذات الصلة من أجل تقييم المخاطر واتخاذ القرارات على الصعيد الوطني، ولإعداد الإخطارات بالإجراءات التنظيمية النهائية؛</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w:t>
      </w:r>
      <w:r>
        <w:rPr>
          <w:rFonts w:cs="Traditional Arabic" w:hint="cs"/>
          <w:szCs w:val="30"/>
          <w:rtl/>
        </w:rPr>
        <w:t>و</w:t>
      </w:r>
      <w:r w:rsidRPr="00A51004">
        <w:rPr>
          <w:rFonts w:cs="Traditional Arabic"/>
          <w:szCs w:val="30"/>
          <w:rtl/>
        </w:rPr>
        <w:t>)</w:t>
      </w:r>
      <w:r w:rsidRPr="00A51004">
        <w:rPr>
          <w:rFonts w:cs="Traditional Arabic"/>
          <w:szCs w:val="30"/>
          <w:rtl/>
        </w:rPr>
        <w:tab/>
        <w:t>تزويد الأمانة بمعلومات يمكن أن تساعد أطرافاً أخرى في إعداد الإجراءات التنظيمية النهائية والإخطار بها، بما في ذلك ما يلي:</w:t>
      </w:r>
    </w:p>
    <w:p w:rsidR="00AA70D0" w:rsidRDefault="00AA70D0" w:rsidP="00AA70D0">
      <w:pPr>
        <w:tabs>
          <w:tab w:val="left" w:pos="3543"/>
        </w:tabs>
        <w:spacing w:after="120" w:line="380" w:lineRule="exact"/>
        <w:ind w:left="2976" w:hanging="567"/>
        <w:jc w:val="both"/>
        <w:textDirection w:val="tbRlV"/>
        <w:rPr>
          <w:rFonts w:cs="Traditional Arabic"/>
          <w:szCs w:val="30"/>
          <w:rtl/>
        </w:rPr>
      </w:pPr>
      <w:r w:rsidRPr="00A51004">
        <w:rPr>
          <w:rFonts w:cs="Traditional Arabic" w:hint="cs"/>
          <w:szCs w:val="30"/>
          <w:rtl/>
        </w:rPr>
        <w:t>’1‘</w:t>
      </w:r>
      <w:r w:rsidRPr="00A51004">
        <w:rPr>
          <w:rFonts w:cs="Traditional Arabic"/>
          <w:szCs w:val="30"/>
          <w:rtl/>
        </w:rPr>
        <w:tab/>
        <w:t>المعلومات العلمية والتقنية المهمة لإجراء تقييمات المخاطر وصنع القرارات فيما يتعلق بالمواد الكيميائية ومبيدات الآفات الخطرة؛</w:t>
      </w:r>
    </w:p>
    <w:p w:rsidR="00AA70D0" w:rsidRPr="00A51004" w:rsidRDefault="00AA70D0" w:rsidP="00AA70D0">
      <w:pPr>
        <w:tabs>
          <w:tab w:val="left" w:pos="3543"/>
        </w:tabs>
        <w:spacing w:after="120" w:line="380" w:lineRule="exact"/>
        <w:ind w:left="2976" w:hanging="567"/>
        <w:jc w:val="both"/>
        <w:textDirection w:val="tbRlV"/>
        <w:rPr>
          <w:rFonts w:cs="Traditional Arabic"/>
          <w:szCs w:val="30"/>
          <w:rtl/>
        </w:rPr>
      </w:pPr>
      <w:r w:rsidRPr="00A51004">
        <w:rPr>
          <w:rFonts w:cs="Traditional Arabic" w:hint="cs"/>
          <w:szCs w:val="30"/>
          <w:rtl/>
        </w:rPr>
        <w:t>’2‘</w:t>
      </w:r>
      <w:r w:rsidRPr="00A51004">
        <w:rPr>
          <w:rFonts w:cs="Traditional Arabic"/>
          <w:szCs w:val="30"/>
          <w:rtl/>
        </w:rPr>
        <w:tab/>
        <w:t>نصوص التشريعات الوطنية والتدابير الأخرى التي تعتمدها لتنفيذ الاتفاقية وإنفاذها؛</w:t>
      </w:r>
    </w:p>
    <w:p w:rsidR="00AA70D0"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w:t>
      </w:r>
      <w:r>
        <w:rPr>
          <w:rFonts w:cs="Traditional Arabic" w:hint="cs"/>
          <w:szCs w:val="30"/>
          <w:rtl/>
        </w:rPr>
        <w:t>ز</w:t>
      </w:r>
      <w:r w:rsidRPr="00A51004">
        <w:rPr>
          <w:rFonts w:cs="Traditional Arabic"/>
          <w:szCs w:val="30"/>
          <w:rtl/>
        </w:rPr>
        <w:t>)</w:t>
      </w:r>
      <w:r w:rsidRPr="00A51004">
        <w:rPr>
          <w:rFonts w:cs="Traditional Arabic"/>
          <w:szCs w:val="30"/>
          <w:rtl/>
        </w:rPr>
        <w:tab/>
        <w:t>تقديم معلومات عن تنفيذها للفقرة ٢ من المادة ١١ والمادتين ١٢ و١٤ من الاتفاقية من خلال تقديم ردود على الاستبيان الدوري بشأن تنفيذ تلك المواد؛</w:t>
      </w:r>
    </w:p>
    <w:p w:rsidR="00AA70D0" w:rsidRPr="00CD4F89"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CD4F89">
        <w:rPr>
          <w:rFonts w:cs="Traditional Arabic" w:hint="cs"/>
          <w:szCs w:val="30"/>
          <w:rtl/>
        </w:rPr>
        <w:t>3 -</w:t>
      </w:r>
      <w:r w:rsidRPr="00CD4F89">
        <w:rPr>
          <w:rFonts w:cs="Traditional Arabic"/>
          <w:szCs w:val="30"/>
          <w:rtl/>
        </w:rPr>
        <w:tab/>
      </w:r>
      <w:r w:rsidRPr="00CD4F89">
        <w:rPr>
          <w:rFonts w:cs="Traditional Arabic"/>
          <w:i/>
          <w:iCs/>
          <w:szCs w:val="30"/>
          <w:rtl/>
        </w:rPr>
        <w:t>يحث</w:t>
      </w:r>
      <w:r w:rsidRPr="00CD4F89">
        <w:rPr>
          <w:rFonts w:cs="Traditional Arabic"/>
          <w:szCs w:val="30"/>
          <w:rtl/>
        </w:rPr>
        <w:t xml:space="preserve"> الأطراف على:</w:t>
      </w:r>
    </w:p>
    <w:p w:rsidR="00AA70D0"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CD4F89">
        <w:rPr>
          <w:rFonts w:cs="Traditional Arabic"/>
          <w:szCs w:val="30"/>
          <w:rtl/>
        </w:rPr>
        <w:t>(أ)</w:t>
      </w:r>
      <w:r w:rsidRPr="00CD4F89">
        <w:rPr>
          <w:rFonts w:cs="Traditional Arabic"/>
          <w:szCs w:val="30"/>
          <w:rtl/>
        </w:rPr>
        <w:tab/>
        <w:t>ضمان التنفيذ الفعال للمادة ١١ من اتفاقية</w:t>
      </w:r>
      <w:r>
        <w:rPr>
          <w:rFonts w:cs="Traditional Arabic" w:hint="cs"/>
          <w:szCs w:val="30"/>
          <w:rtl/>
        </w:rPr>
        <w:t xml:space="preserve"> روتردام، </w:t>
      </w:r>
      <w:r w:rsidRPr="00D701F2">
        <w:rPr>
          <w:rFonts w:cs="Traditional Arabic"/>
          <w:szCs w:val="30"/>
          <w:rtl/>
        </w:rPr>
        <w:t>التي تشكل مساهمة هامة في مكافحة الاتجار غير المشروع بالمواد الكيميائية الخاضعة للاتفاقية؛</w:t>
      </w:r>
    </w:p>
    <w:p w:rsidR="00AA70D0"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Pr>
          <w:rFonts w:cs="Traditional Arabic" w:hint="cs"/>
          <w:szCs w:val="30"/>
          <w:rtl/>
        </w:rPr>
        <w:lastRenderedPageBreak/>
        <w:t>(ب)</w:t>
      </w:r>
      <w:r>
        <w:rPr>
          <w:rFonts w:cs="Traditional Arabic"/>
          <w:szCs w:val="30"/>
          <w:rtl/>
        </w:rPr>
        <w:tab/>
      </w:r>
      <w:r w:rsidRPr="000D6EE3">
        <w:rPr>
          <w:rFonts w:cs="Traditional Arabic"/>
          <w:szCs w:val="30"/>
          <w:rtl/>
        </w:rPr>
        <w:t>ضمان التنفيذ السليم للمادة ١٣، ولا</w:t>
      </w:r>
      <w:r>
        <w:rPr>
          <w:rFonts w:cs="Traditional Arabic" w:hint="cs"/>
          <w:szCs w:val="30"/>
          <w:rtl/>
        </w:rPr>
        <w:t> </w:t>
      </w:r>
      <w:r w:rsidRPr="000D6EE3">
        <w:rPr>
          <w:rFonts w:cs="Traditional Arabic"/>
          <w:szCs w:val="30"/>
          <w:rtl/>
        </w:rPr>
        <w:t xml:space="preserve">سيما اشتراط </w:t>
      </w:r>
      <w:r>
        <w:rPr>
          <w:rFonts w:cs="Traditional Arabic" w:hint="cs"/>
          <w:szCs w:val="30"/>
          <w:rtl/>
        </w:rPr>
        <w:t>إرسال</w:t>
      </w:r>
      <w:r w:rsidRPr="000D6EE3">
        <w:rPr>
          <w:rFonts w:cs="Traditional Arabic"/>
          <w:szCs w:val="30"/>
          <w:rtl/>
        </w:rPr>
        <w:t xml:space="preserve"> صحيفة بيانات السلامة </w:t>
      </w:r>
      <w:r>
        <w:rPr>
          <w:rFonts w:cs="Traditional Arabic" w:hint="cs"/>
          <w:szCs w:val="30"/>
          <w:rtl/>
        </w:rPr>
        <w:t xml:space="preserve">المعدة وفق النسق </w:t>
      </w:r>
      <w:r w:rsidRPr="000D6EE3">
        <w:rPr>
          <w:rFonts w:cs="Traditional Arabic"/>
          <w:szCs w:val="30"/>
          <w:rtl/>
        </w:rPr>
        <w:t>المعترف به دوليا إلى كل مستورد لمواد كيميائية مدرجة في المرفق الثالث و</w:t>
      </w:r>
      <w:r>
        <w:rPr>
          <w:rFonts w:cs="Traditional Arabic" w:hint="cs"/>
          <w:szCs w:val="30"/>
          <w:rtl/>
        </w:rPr>
        <w:t>كذلك ل</w:t>
      </w:r>
      <w:r w:rsidRPr="000D6EE3">
        <w:rPr>
          <w:rFonts w:cs="Traditional Arabic"/>
          <w:szCs w:val="30"/>
          <w:rtl/>
        </w:rPr>
        <w:t xml:space="preserve">لمواد الكيميائية المحظورة أو المقيدة بشدة في </w:t>
      </w:r>
      <w:r>
        <w:rPr>
          <w:rFonts w:cs="Traditional Arabic" w:hint="cs"/>
          <w:szCs w:val="30"/>
          <w:rtl/>
        </w:rPr>
        <w:t>أراضي</w:t>
      </w:r>
      <w:r w:rsidRPr="000D6EE3">
        <w:rPr>
          <w:rFonts w:cs="Traditional Arabic"/>
          <w:szCs w:val="30"/>
          <w:rtl/>
        </w:rPr>
        <w:t xml:space="preserve"> البلد المصدر، </w:t>
      </w:r>
      <w:r>
        <w:rPr>
          <w:rFonts w:cs="Traditional Arabic" w:hint="cs"/>
          <w:szCs w:val="30"/>
          <w:rtl/>
        </w:rPr>
        <w:t>و</w:t>
      </w:r>
      <w:r w:rsidRPr="000D6EE3">
        <w:rPr>
          <w:rFonts w:cs="Traditional Arabic"/>
          <w:szCs w:val="30"/>
          <w:rtl/>
        </w:rPr>
        <w:t xml:space="preserve">التي </w:t>
      </w:r>
      <w:r>
        <w:rPr>
          <w:rFonts w:cs="Traditional Arabic" w:hint="cs"/>
          <w:szCs w:val="30"/>
          <w:rtl/>
        </w:rPr>
        <w:t>س</w:t>
      </w:r>
      <w:r w:rsidRPr="000D6EE3">
        <w:rPr>
          <w:rFonts w:cs="Traditional Arabic"/>
          <w:szCs w:val="30"/>
          <w:rtl/>
        </w:rPr>
        <w:t xml:space="preserve">تستخدم لأغراض مهنية، </w:t>
      </w:r>
      <w:r>
        <w:rPr>
          <w:rFonts w:cs="Traditional Arabic" w:hint="cs"/>
          <w:szCs w:val="30"/>
          <w:rtl/>
        </w:rPr>
        <w:t xml:space="preserve">باستخدام </w:t>
      </w:r>
      <w:r w:rsidRPr="000D6EE3">
        <w:rPr>
          <w:rFonts w:cs="Traditional Arabic"/>
          <w:szCs w:val="30"/>
          <w:rtl/>
        </w:rPr>
        <w:t xml:space="preserve">واحدة أو أكثر من اللغات الرسمية لدى الطرف المستورد، قدر </w:t>
      </w:r>
      <w:r>
        <w:rPr>
          <w:rFonts w:cs="Traditional Arabic" w:hint="cs"/>
          <w:szCs w:val="30"/>
          <w:rtl/>
        </w:rPr>
        <w:t>المستطاع</w:t>
      </w:r>
      <w:r w:rsidRPr="000D6EE3">
        <w:rPr>
          <w:rFonts w:cs="Traditional Arabic"/>
          <w:szCs w:val="30"/>
          <w:rtl/>
        </w:rPr>
        <w:t>؛</w:t>
      </w:r>
    </w:p>
    <w:p w:rsidR="00AA70D0" w:rsidRPr="00CD4F89"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Pr>
          <w:rFonts w:cs="Traditional Arabic" w:hint="cs"/>
          <w:szCs w:val="30"/>
          <w:rtl/>
        </w:rPr>
        <w:t>(ج)</w:t>
      </w:r>
      <w:r>
        <w:rPr>
          <w:rFonts w:cs="Traditional Arabic"/>
          <w:szCs w:val="30"/>
          <w:rtl/>
        </w:rPr>
        <w:tab/>
      </w:r>
      <w:r w:rsidRPr="006D54FB">
        <w:rPr>
          <w:rFonts w:cs="Traditional Arabic"/>
          <w:szCs w:val="30"/>
          <w:rtl/>
        </w:rPr>
        <w:t xml:space="preserve">ضمان أن </w:t>
      </w:r>
      <w:r>
        <w:rPr>
          <w:rFonts w:cs="Traditional Arabic" w:hint="cs"/>
          <w:szCs w:val="30"/>
          <w:rtl/>
        </w:rPr>
        <w:t xml:space="preserve">يتضمن </w:t>
      </w:r>
      <w:r w:rsidRPr="006D54FB">
        <w:rPr>
          <w:rFonts w:cs="Traditional Arabic"/>
          <w:szCs w:val="30"/>
          <w:rtl/>
        </w:rPr>
        <w:t xml:space="preserve">مستند </w:t>
      </w:r>
      <w:r>
        <w:rPr>
          <w:rFonts w:cs="Traditional Arabic" w:hint="cs"/>
          <w:szCs w:val="30"/>
          <w:rtl/>
        </w:rPr>
        <w:t>شحن مادة</w:t>
      </w:r>
      <w:r w:rsidRPr="006D54FB">
        <w:rPr>
          <w:rFonts w:cs="Traditional Arabic"/>
          <w:szCs w:val="30"/>
          <w:rtl/>
        </w:rPr>
        <w:t xml:space="preserve"> كيميائية أو مجموعة من المواد الكيميائية المدرجة في المرفق الثالث </w:t>
      </w:r>
      <w:r>
        <w:rPr>
          <w:rFonts w:cs="Traditional Arabic" w:hint="cs"/>
          <w:szCs w:val="30"/>
          <w:rtl/>
        </w:rPr>
        <w:t xml:space="preserve">الرمز </w:t>
      </w:r>
      <w:r w:rsidRPr="006D54FB">
        <w:rPr>
          <w:rFonts w:cs="Traditional Arabic"/>
          <w:szCs w:val="30"/>
          <w:rtl/>
        </w:rPr>
        <w:t xml:space="preserve">الجمركي </w:t>
      </w:r>
      <w:r>
        <w:rPr>
          <w:rFonts w:cs="Traditional Arabic" w:hint="cs"/>
          <w:szCs w:val="30"/>
          <w:rtl/>
        </w:rPr>
        <w:t xml:space="preserve">للنظام المنسق </w:t>
      </w:r>
      <w:r w:rsidRPr="006D54FB">
        <w:rPr>
          <w:rFonts w:cs="Traditional Arabic"/>
          <w:szCs w:val="30"/>
          <w:rtl/>
        </w:rPr>
        <w:t>عند تصديرها</w:t>
      </w:r>
      <w:r>
        <w:rPr>
          <w:rFonts w:cs="Traditional Arabic" w:hint="cs"/>
          <w:szCs w:val="30"/>
          <w:rtl/>
        </w:rPr>
        <w:t xml:space="preserve"> متى ما كان هناك رمز محدد</w:t>
      </w:r>
      <w:r w:rsidRPr="006D54FB">
        <w:rPr>
          <w:rFonts w:cs="Traditional Arabic"/>
          <w:szCs w:val="30"/>
          <w:rtl/>
        </w:rPr>
        <w:t>؛</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hint="cs"/>
          <w:szCs w:val="30"/>
          <w:rtl/>
        </w:rPr>
        <w:t>4 -</w:t>
      </w:r>
      <w:r w:rsidRPr="00A51004">
        <w:rPr>
          <w:rFonts w:cs="Traditional Arabic"/>
          <w:szCs w:val="30"/>
          <w:rtl/>
        </w:rPr>
        <w:tab/>
        <w:t>يقرر تعديل تشكيلة مناطق الموافقة المسبقة عن علم لغرض تنفيذ الفقرة ٥ من المادة ٥ من اتفاقية روتردام، على النحو المبين في مرفق المقرر ا ر-١/٢، عن طريق ما يلي:</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(أ)</w:t>
      </w:r>
      <w:r w:rsidRPr="00A51004">
        <w:rPr>
          <w:rFonts w:cs="Traditional Arabic"/>
          <w:szCs w:val="30"/>
          <w:rtl/>
        </w:rPr>
        <w:tab/>
        <w:t>إضافة دولة فلسطين إلى منطقة الموافقة المسبقة عن علم، الشرق الأدنى؛</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(ب)</w:t>
      </w:r>
      <w:r w:rsidRPr="00A51004">
        <w:rPr>
          <w:rFonts w:cs="Traditional Arabic"/>
          <w:szCs w:val="30"/>
          <w:rtl/>
        </w:rPr>
        <w:tab/>
        <w:t>إضافة جنوب السودان إلى منطقة الموافقة المسبقة عن علم، أفريقيا؛</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hint="cs"/>
          <w:szCs w:val="30"/>
          <w:rtl/>
        </w:rPr>
        <w:t>5 -</w:t>
      </w:r>
      <w:r w:rsidRPr="00A51004">
        <w:rPr>
          <w:rFonts w:cs="Traditional Arabic"/>
          <w:szCs w:val="30"/>
          <w:rtl/>
        </w:rPr>
        <w:tab/>
        <w:t>يطلب إلى الأمانة أن تعد وتحفظ قائمةً منقحة بتشكيلة مناطق الموافقة المسبقة عن علم، بما يعكس أي تغييرات في أسماء الأطراف، في حال حدوثها، وأن تتيحها على الموقع الشبكي لاتفاقية</w:t>
      </w:r>
      <w:r>
        <w:rPr>
          <w:rFonts w:cs="Traditional Arabic" w:hint="cs"/>
          <w:szCs w:val="30"/>
          <w:rtl/>
        </w:rPr>
        <w:t xml:space="preserve"> روتردام</w:t>
      </w:r>
      <w:r w:rsidRPr="00A51004">
        <w:rPr>
          <w:rFonts w:cs="Traditional Arabic"/>
          <w:szCs w:val="30"/>
          <w:rtl/>
        </w:rPr>
        <w:t>؛</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hint="cs"/>
          <w:szCs w:val="30"/>
          <w:rtl/>
        </w:rPr>
        <w:t>6 -</w:t>
      </w:r>
      <w:r w:rsidRPr="00A51004">
        <w:rPr>
          <w:rFonts w:cs="Traditional Arabic"/>
          <w:szCs w:val="30"/>
          <w:rtl/>
        </w:rPr>
        <w:tab/>
      </w:r>
      <w:r w:rsidRPr="00A51004">
        <w:rPr>
          <w:rFonts w:cs="Traditional Arabic"/>
          <w:i/>
          <w:iCs/>
          <w:szCs w:val="30"/>
          <w:rtl/>
        </w:rPr>
        <w:t>يطلب أيضا</w:t>
      </w:r>
      <w:r w:rsidRPr="00A51004">
        <w:rPr>
          <w:rFonts w:cs="Traditional Arabic" w:hint="cs"/>
          <w:i/>
          <w:iCs/>
          <w:szCs w:val="30"/>
          <w:rtl/>
        </w:rPr>
        <w:t>ً</w:t>
      </w:r>
      <w:r w:rsidRPr="00A51004">
        <w:rPr>
          <w:rFonts w:cs="Traditional Arabic"/>
          <w:szCs w:val="30"/>
          <w:rtl/>
        </w:rPr>
        <w:t xml:space="preserve"> إلى الأمانة أن تواصل رصد الحاجة المحتملة لتغيير تشكيلة مناطق الموافقة المسبقة عن علم، وإبلاغ مؤتمر الأطراف بذلك.</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hint="cs"/>
          <w:szCs w:val="30"/>
          <w:rtl/>
        </w:rPr>
        <w:t>7 -</w:t>
      </w:r>
      <w:r w:rsidRPr="00A51004">
        <w:rPr>
          <w:rFonts w:cs="Traditional Arabic"/>
          <w:szCs w:val="30"/>
          <w:rtl/>
        </w:rPr>
        <w:tab/>
      </w:r>
      <w:r w:rsidRPr="00A51004">
        <w:rPr>
          <w:rFonts w:cs="Traditional Arabic"/>
          <w:i/>
          <w:iCs/>
          <w:szCs w:val="30"/>
          <w:rtl/>
        </w:rPr>
        <w:t>يدعو</w:t>
      </w:r>
      <w:r w:rsidRPr="00A51004">
        <w:rPr>
          <w:rFonts w:cs="Traditional Arabic"/>
          <w:szCs w:val="30"/>
          <w:rtl/>
        </w:rPr>
        <w:t xml:space="preserve"> الأطراف، وغير الأطراف، والصناعة، والمجتمع المدني، والجهات الأخرى صاحبة المصلحة إلى موافاة الأمانة بما يلي:</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(أ)</w:t>
      </w:r>
      <w:r w:rsidRPr="00A51004">
        <w:rPr>
          <w:rFonts w:cs="Traditional Arabic"/>
          <w:szCs w:val="30"/>
          <w:rtl/>
        </w:rPr>
        <w:tab/>
        <w:t>بيانات عن التجارة الدولية في المواد الكيميائية المدرجة أو الموصى بإدراجها في المرفق الثالث لاتفاقية</w:t>
      </w:r>
      <w:r>
        <w:rPr>
          <w:rFonts w:cs="Traditional Arabic" w:hint="cs"/>
          <w:szCs w:val="30"/>
          <w:rtl/>
        </w:rPr>
        <w:t xml:space="preserve"> روتردام</w:t>
      </w:r>
      <w:r w:rsidRPr="00A51004">
        <w:rPr>
          <w:rFonts w:cs="Traditional Arabic"/>
          <w:szCs w:val="30"/>
          <w:rtl/>
        </w:rPr>
        <w:t>؛</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(ب)</w:t>
      </w:r>
      <w:r w:rsidRPr="00A51004">
        <w:rPr>
          <w:rFonts w:cs="Traditional Arabic"/>
          <w:szCs w:val="30"/>
          <w:rtl/>
        </w:rPr>
        <w:tab/>
        <w:t>معلومات عن الأثر القابل للقياس لإدراج مواد كيميائية في المرفق الثالث للاتفاقية؛</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hint="cs"/>
          <w:szCs w:val="30"/>
          <w:rtl/>
        </w:rPr>
        <w:t>8 -</w:t>
      </w:r>
      <w:r w:rsidRPr="00A51004">
        <w:rPr>
          <w:rFonts w:cs="Traditional Arabic"/>
          <w:szCs w:val="30"/>
          <w:rtl/>
        </w:rPr>
        <w:tab/>
      </w:r>
      <w:r w:rsidRPr="00A51004">
        <w:rPr>
          <w:rFonts w:cs="Traditional Arabic"/>
          <w:i/>
          <w:iCs/>
          <w:szCs w:val="30"/>
          <w:rtl/>
        </w:rPr>
        <w:t>يطلب</w:t>
      </w:r>
      <w:r w:rsidRPr="00A51004">
        <w:rPr>
          <w:rFonts w:cs="Traditional Arabic"/>
          <w:szCs w:val="30"/>
          <w:rtl/>
        </w:rPr>
        <w:t xml:space="preserve"> إلى الأمانة:</w:t>
      </w:r>
    </w:p>
    <w:p w:rsidR="00AA70D0"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(أ)</w:t>
      </w:r>
      <w:r w:rsidRPr="00A51004">
        <w:rPr>
          <w:rFonts w:cs="Traditional Arabic"/>
          <w:szCs w:val="30"/>
          <w:rtl/>
        </w:rPr>
        <w:tab/>
        <w:t xml:space="preserve">أن تواصل جمع المعلومات المشار إليها في الفقرتين </w:t>
      </w:r>
      <w:r>
        <w:rPr>
          <w:rFonts w:cs="Traditional Arabic" w:hint="cs"/>
          <w:szCs w:val="30"/>
          <w:rtl/>
        </w:rPr>
        <w:t>2</w:t>
      </w:r>
      <w:r w:rsidRPr="00A51004">
        <w:rPr>
          <w:rFonts w:cs="Traditional Arabic"/>
          <w:szCs w:val="30"/>
          <w:rtl/>
        </w:rPr>
        <w:t xml:space="preserve"> (</w:t>
      </w:r>
      <w:r>
        <w:rPr>
          <w:rFonts w:cs="Traditional Arabic" w:hint="cs"/>
          <w:szCs w:val="30"/>
          <w:rtl/>
        </w:rPr>
        <w:t>و</w:t>
      </w:r>
      <w:r w:rsidRPr="00A51004">
        <w:rPr>
          <w:rFonts w:cs="Traditional Arabic"/>
          <w:szCs w:val="30"/>
          <w:rtl/>
        </w:rPr>
        <w:t>) و</w:t>
      </w:r>
      <w:r>
        <w:rPr>
          <w:rFonts w:cs="Traditional Arabic" w:hint="cs"/>
          <w:szCs w:val="30"/>
          <w:rtl/>
        </w:rPr>
        <w:t>7</w:t>
      </w:r>
      <w:r w:rsidRPr="00A51004">
        <w:rPr>
          <w:rFonts w:cs="Traditional Arabic"/>
          <w:szCs w:val="30"/>
          <w:rtl/>
        </w:rPr>
        <w:t xml:space="preserve"> من هذا المقرر وإتاحتها للأطراف والجهات الأخرى صاحبة المصلحة في شكل سهل الاستعمال؛</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Pr>
          <w:rFonts w:cs="Traditional Arabic" w:hint="cs"/>
          <w:szCs w:val="30"/>
          <w:rtl/>
        </w:rPr>
        <w:t>(ب)</w:t>
      </w:r>
      <w:r>
        <w:rPr>
          <w:rFonts w:cs="Traditional Arabic"/>
          <w:szCs w:val="30"/>
          <w:rtl/>
        </w:rPr>
        <w:tab/>
      </w:r>
      <w:r>
        <w:rPr>
          <w:rFonts w:cs="Traditional Arabic" w:hint="cs"/>
          <w:szCs w:val="30"/>
          <w:rtl/>
        </w:rPr>
        <w:t xml:space="preserve">أن </w:t>
      </w:r>
      <w:r w:rsidRPr="00583C16">
        <w:rPr>
          <w:rFonts w:cs="Traditional Arabic"/>
          <w:szCs w:val="30"/>
          <w:rtl/>
        </w:rPr>
        <w:t>تقدم المساعدة إلى الأطراف، رهنا بتوافر الموارد، لتيسير تنفيذ اتفاقية روتردام، بما في ذلك تقديم استجابات الاستيراد؛</w:t>
      </w:r>
    </w:p>
    <w:p w:rsidR="00AA70D0"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sidRPr="00A51004">
        <w:rPr>
          <w:rFonts w:cs="Traditional Arabic"/>
          <w:szCs w:val="30"/>
          <w:rtl/>
        </w:rPr>
        <w:t>(</w:t>
      </w:r>
      <w:r>
        <w:rPr>
          <w:rFonts w:cs="Traditional Arabic" w:hint="cs"/>
          <w:szCs w:val="30"/>
          <w:rtl/>
        </w:rPr>
        <w:t>ج</w:t>
      </w:r>
      <w:r w:rsidRPr="00A51004">
        <w:rPr>
          <w:rFonts w:cs="Traditional Arabic"/>
          <w:szCs w:val="30"/>
          <w:rtl/>
        </w:rPr>
        <w:t>)</w:t>
      </w:r>
      <w:r w:rsidRPr="00A51004">
        <w:rPr>
          <w:rFonts w:cs="Traditional Arabic"/>
          <w:szCs w:val="30"/>
          <w:rtl/>
        </w:rPr>
        <w:tab/>
        <w:t xml:space="preserve">أن تقدم المساعدة إلى الأطراف، رهناً بتوافر الموارد، لتيسير تقديم الإخطارات بالإجراءات التنظيمية النهائية ومقترحات إدراج تركيبات مبيدات الآفات الشديدة الخطورة، بما في ذلك تقديم المساعدة الفردية للتأكد من أن الإخطارات والمقترحات تستوفي متطلبات المعلومات الواردة في المرفق الأول أو المرفق الرابع، وفق المقتضى، </w:t>
      </w:r>
      <w:r>
        <w:rPr>
          <w:rFonts w:cs="Traditional Arabic" w:hint="cs"/>
          <w:szCs w:val="30"/>
          <w:rtl/>
        </w:rPr>
        <w:t>ل</w:t>
      </w:r>
      <w:r w:rsidRPr="00A51004">
        <w:rPr>
          <w:rFonts w:cs="Traditional Arabic"/>
          <w:szCs w:val="30"/>
          <w:rtl/>
        </w:rPr>
        <w:t>لاتفاقية؛</w:t>
      </w:r>
    </w:p>
    <w:p w:rsidR="00AA70D0" w:rsidRPr="00A51004" w:rsidRDefault="00AA70D0" w:rsidP="00AA70D0">
      <w:pPr>
        <w:tabs>
          <w:tab w:val="left" w:pos="2409"/>
          <w:tab w:val="left" w:pos="2976"/>
          <w:tab w:val="left" w:pos="3543"/>
        </w:tabs>
        <w:spacing w:after="120" w:line="380" w:lineRule="exact"/>
        <w:ind w:left="1133" w:firstLine="709"/>
        <w:jc w:val="both"/>
        <w:textDirection w:val="tbRlV"/>
        <w:rPr>
          <w:rFonts w:cs="Traditional Arabic"/>
          <w:szCs w:val="30"/>
          <w:rtl/>
        </w:rPr>
      </w:pPr>
      <w:r>
        <w:rPr>
          <w:rFonts w:cs="Traditional Arabic" w:hint="cs"/>
          <w:szCs w:val="30"/>
          <w:rtl/>
        </w:rPr>
        <w:lastRenderedPageBreak/>
        <w:t>(د)</w:t>
      </w:r>
      <w:r>
        <w:rPr>
          <w:rFonts w:cs="Traditional Arabic"/>
          <w:szCs w:val="30"/>
          <w:rtl/>
        </w:rPr>
        <w:tab/>
      </w:r>
      <w:r w:rsidRPr="009F3146">
        <w:rPr>
          <w:rFonts w:cs="Traditional Arabic"/>
          <w:szCs w:val="30"/>
          <w:rtl/>
        </w:rPr>
        <w:t xml:space="preserve">أن </w:t>
      </w:r>
      <w:r>
        <w:rPr>
          <w:rFonts w:cs="Traditional Arabic" w:hint="cs"/>
          <w:szCs w:val="30"/>
          <w:rtl/>
        </w:rPr>
        <w:t>ت</w:t>
      </w:r>
      <w:r w:rsidRPr="009F3146">
        <w:rPr>
          <w:rFonts w:cs="Traditional Arabic"/>
          <w:szCs w:val="30"/>
          <w:rtl/>
        </w:rPr>
        <w:t xml:space="preserve">واصل، رهنا بتوافر الموارد، </w:t>
      </w:r>
      <w:r>
        <w:rPr>
          <w:rFonts w:cs="Traditional Arabic" w:hint="cs"/>
          <w:szCs w:val="30"/>
          <w:rtl/>
        </w:rPr>
        <w:t>جمع ال</w:t>
      </w:r>
      <w:r w:rsidRPr="009F3146">
        <w:rPr>
          <w:rFonts w:cs="Traditional Arabic"/>
          <w:szCs w:val="30"/>
          <w:rtl/>
        </w:rPr>
        <w:t xml:space="preserve">معلومات عن تعريف مصطلح </w:t>
      </w:r>
      <w:r>
        <w:rPr>
          <w:rFonts w:cs="Traditional Arabic" w:hint="cs"/>
          <w:szCs w:val="30"/>
          <w:rtl/>
        </w:rPr>
        <w:t xml:space="preserve">’’مبيد الآفات‘‘ الذي تستخدمه الأطراف وأن تتيحه </w:t>
      </w:r>
      <w:r w:rsidRPr="009F3146">
        <w:rPr>
          <w:rFonts w:cs="Traditional Arabic"/>
          <w:szCs w:val="30"/>
          <w:rtl/>
        </w:rPr>
        <w:t>للأطراف والجهات المعنية الأخرى؛</w:t>
      </w:r>
    </w:p>
    <w:p w:rsidR="00AA70D0" w:rsidRDefault="00AA70D0" w:rsidP="00AA70D0">
      <w:pPr>
        <w:tabs>
          <w:tab w:val="left" w:pos="2409"/>
          <w:tab w:val="left" w:pos="2976"/>
          <w:tab w:val="left" w:pos="3543"/>
        </w:tabs>
        <w:spacing w:after="120" w:line="380" w:lineRule="exact"/>
        <w:ind w:left="1133" w:firstLine="709"/>
        <w:jc w:val="both"/>
        <w:rPr>
          <w:rFonts w:cs="Traditional Arabic"/>
          <w:szCs w:val="30"/>
          <w:rtl/>
        </w:rPr>
      </w:pPr>
      <w:r w:rsidRPr="00A51004">
        <w:rPr>
          <w:rFonts w:cs="Traditional Arabic"/>
          <w:szCs w:val="30"/>
          <w:rtl/>
        </w:rPr>
        <w:t>(</w:t>
      </w:r>
      <w:r>
        <w:rPr>
          <w:rFonts w:cs="Traditional Arabic" w:hint="cs"/>
          <w:szCs w:val="30"/>
          <w:rtl/>
        </w:rPr>
        <w:t>ه</w:t>
      </w:r>
      <w:r w:rsidRPr="00A51004">
        <w:rPr>
          <w:rFonts w:cs="Traditional Arabic"/>
          <w:szCs w:val="30"/>
          <w:rtl/>
        </w:rPr>
        <w:t>)</w:t>
      </w:r>
      <w:r w:rsidRPr="00A51004">
        <w:rPr>
          <w:rFonts w:cs="Traditional Arabic"/>
          <w:szCs w:val="30"/>
          <w:rtl/>
        </w:rPr>
        <w:tab/>
        <w:t>أن تواصل، رهنا</w:t>
      </w:r>
      <w:r w:rsidRPr="00A51004">
        <w:rPr>
          <w:rFonts w:cs="Traditional Arabic" w:hint="cs"/>
          <w:szCs w:val="30"/>
          <w:rtl/>
        </w:rPr>
        <w:t>ً</w:t>
      </w:r>
      <w:r w:rsidRPr="00A51004">
        <w:rPr>
          <w:rFonts w:cs="Traditional Arabic"/>
          <w:szCs w:val="30"/>
          <w:rtl/>
        </w:rPr>
        <w:t xml:space="preserve"> بتوافر الموارد، تنفيذ أحكام المقرر ا ر- ٧/٢ بعدة وسائل من بينها تيسير تبادل المعلومات وتقديم المساعدة إلى الأطراف، بناء على طلبها، في تنفيذ الفقرة ٢ (ج) من المادة ١١ والمادتين ١٢ و١٤ من الاتفاقية.</w:t>
      </w:r>
      <w:bookmarkStart w:id="0" w:name="_GoBack"/>
      <w:bookmarkEnd w:id="0"/>
    </w:p>
    <w:sectPr w:rsidR="00AA70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Traditional Arabic">
    <w:altName w:val="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A66A9D"/>
    <w:multiLevelType w:val="multilevel"/>
    <w:tmpl w:val="6EDC70F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D0"/>
    <w:rsid w:val="00AA70D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E1B1"/>
  <w15:chartTrackingRefBased/>
  <w15:docId w15:val="{48E37FE4-6FF8-4660-89FF-FDDF1964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0D0"/>
    <w:pPr>
      <w:bidi/>
      <w:spacing w:after="0" w:line="240" w:lineRule="auto"/>
    </w:pPr>
    <w:rPr>
      <w:rFonts w:ascii="Times" w:eastAsia="Times New Roman" w:hAnsi="Times" w:cs="Simplified Arabic"/>
      <w:noProof/>
      <w:sz w:val="20"/>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numberChar">
    <w:name w:val="Normal_number Char"/>
    <w:link w:val="Normalnumber"/>
    <w:rsid w:val="00AA70D0"/>
    <w:rPr>
      <w:lang w:val="en-GB"/>
    </w:rPr>
  </w:style>
  <w:style w:type="numbering" w:customStyle="1" w:styleId="Normallist">
    <w:name w:val="Normal_list"/>
    <w:basedOn w:val="NoList"/>
    <w:rsid w:val="00AA70D0"/>
    <w:pPr>
      <w:numPr>
        <w:numId w:val="1"/>
      </w:numPr>
    </w:pPr>
  </w:style>
  <w:style w:type="paragraph" w:customStyle="1" w:styleId="Normalnumber">
    <w:name w:val="Normal_number"/>
    <w:basedOn w:val="Normal"/>
    <w:link w:val="NormalnumberChar"/>
    <w:qFormat/>
    <w:rsid w:val="00AA70D0"/>
    <w:pPr>
      <w:numPr>
        <w:numId w:val="1"/>
      </w:numPr>
      <w:tabs>
        <w:tab w:val="left" w:pos="624"/>
      </w:tabs>
      <w:bidi w:val="0"/>
      <w:spacing w:after="120"/>
    </w:pPr>
    <w:rPr>
      <w:rFonts w:asciiTheme="minorHAnsi" w:eastAsiaTheme="minorEastAsia" w:hAnsiTheme="minorHAnsi" w:cstheme="minorBidi"/>
      <w:noProof w:val="0"/>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2019-11-27T19:24:00Z</dcterms:created>
  <dcterms:modified xsi:type="dcterms:W3CDTF">2019-11-27T19:26:00Z</dcterms:modified>
</cp:coreProperties>
</file>