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786D" w:rsidRPr="00C860F5" w:rsidRDefault="0033786D" w:rsidP="0033786D">
      <w:pPr>
        <w:pStyle w:val="NormalNonumber"/>
        <w:tabs>
          <w:tab w:val="clear" w:pos="1247"/>
          <w:tab w:val="clear" w:pos="1814"/>
          <w:tab w:val="clear" w:pos="2381"/>
          <w:tab w:val="clear" w:pos="2948"/>
          <w:tab w:val="clear" w:pos="3515"/>
          <w:tab w:val="left" w:pos="2340"/>
        </w:tabs>
        <w:ind w:left="1200"/>
        <w:rPr>
          <w:rFonts w:eastAsia="SimHei"/>
          <w:b/>
          <w:sz w:val="28"/>
          <w:szCs w:val="24"/>
          <w:lang w:eastAsia="zh-CN"/>
        </w:rPr>
      </w:pPr>
      <w:r w:rsidRPr="00C860F5">
        <w:rPr>
          <w:rFonts w:eastAsia="SimHei"/>
          <w:b/>
          <w:sz w:val="28"/>
          <w:szCs w:val="24"/>
          <w:lang w:val="zh-CN" w:eastAsia="zh-CN"/>
        </w:rPr>
        <w:t>RC-9/1</w:t>
      </w:r>
      <w:r w:rsidRPr="00C860F5">
        <w:rPr>
          <w:rFonts w:eastAsia="SimHei"/>
          <w:b/>
          <w:sz w:val="28"/>
          <w:szCs w:val="24"/>
          <w:lang w:val="zh-CN" w:eastAsia="zh-CN"/>
        </w:rPr>
        <w:t>：《公约》的执行情况</w:t>
      </w:r>
    </w:p>
    <w:p w:rsidR="0033786D" w:rsidRPr="00C860F5" w:rsidRDefault="0033786D" w:rsidP="0033786D">
      <w:pPr>
        <w:keepNext/>
        <w:keepLines/>
        <w:tabs>
          <w:tab w:val="left" w:pos="624"/>
        </w:tabs>
        <w:autoSpaceDE w:val="0"/>
        <w:autoSpaceDN w:val="0"/>
        <w:adjustRightInd w:val="0"/>
        <w:spacing w:line="240" w:lineRule="auto"/>
        <w:ind w:left="1200" w:firstLine="480"/>
        <w:rPr>
          <w:rFonts w:ascii="KaiTi" w:eastAsia="KaiTi" w:hAnsi="KaiTi"/>
          <w:i/>
          <w:iCs/>
          <w:sz w:val="24"/>
          <w:szCs w:val="24"/>
        </w:rPr>
      </w:pPr>
      <w:r w:rsidRPr="00C860F5">
        <w:rPr>
          <w:rFonts w:ascii="KaiTi" w:eastAsia="KaiTi" w:hAnsi="KaiTi"/>
          <w:sz w:val="24"/>
          <w:szCs w:val="24"/>
          <w:lang w:val="zh-CN"/>
        </w:rPr>
        <w:t>缔约方大会</w:t>
      </w:r>
    </w:p>
    <w:p w:rsidR="0033786D" w:rsidRPr="00C860F5" w:rsidRDefault="0033786D" w:rsidP="0033786D">
      <w:pPr>
        <w:numPr>
          <w:ilvl w:val="0"/>
          <w:numId w:val="4"/>
        </w:numPr>
        <w:tabs>
          <w:tab w:val="clear" w:pos="1247"/>
          <w:tab w:val="clear" w:pos="1814"/>
          <w:tab w:val="clear" w:pos="2381"/>
          <w:tab w:val="clear" w:pos="2948"/>
          <w:tab w:val="clear" w:pos="3515"/>
          <w:tab w:val="num" w:pos="360"/>
          <w:tab w:val="left" w:pos="624"/>
          <w:tab w:val="num" w:pos="2280"/>
        </w:tabs>
        <w:adjustRightInd w:val="0"/>
        <w:spacing w:line="240" w:lineRule="auto"/>
        <w:ind w:left="1200" w:firstLine="480"/>
        <w:rPr>
          <w:sz w:val="24"/>
          <w:szCs w:val="24"/>
        </w:rPr>
      </w:pPr>
      <w:r w:rsidRPr="00C860F5">
        <w:rPr>
          <w:rFonts w:ascii="KaiTi" w:eastAsia="KaiTi" w:hAnsi="KaiTi"/>
          <w:sz w:val="24"/>
          <w:szCs w:val="24"/>
          <w:lang w:val="zh-CN"/>
        </w:rPr>
        <w:t>表示注意到</w:t>
      </w:r>
      <w:r w:rsidRPr="00C860F5">
        <w:rPr>
          <w:sz w:val="24"/>
          <w:szCs w:val="24"/>
          <w:lang w:val="zh-CN"/>
        </w:rPr>
        <w:t>所提供的关于《</w:t>
      </w:r>
      <w:r w:rsidRPr="00C860F5">
        <w:rPr>
          <w:rFonts w:hint="eastAsia"/>
          <w:sz w:val="24"/>
          <w:szCs w:val="24"/>
          <w:lang w:val="zh-CN"/>
        </w:rPr>
        <w:t>关于在国际贸易中对某些危险化学品和农药采用事先知情同意程序的鹿特丹公约</w:t>
      </w:r>
      <w:r w:rsidRPr="00C860F5">
        <w:rPr>
          <w:sz w:val="24"/>
          <w:szCs w:val="24"/>
          <w:lang w:val="zh-CN"/>
        </w:rPr>
        <w:t>》执行</w:t>
      </w:r>
      <w:r w:rsidRPr="00C860F5">
        <w:rPr>
          <w:rFonts w:hint="eastAsia"/>
          <w:sz w:val="24"/>
          <w:szCs w:val="24"/>
          <w:lang w:val="zh-CN"/>
        </w:rPr>
        <w:t>情况</w:t>
      </w:r>
      <w:r w:rsidRPr="00C860F5">
        <w:rPr>
          <w:sz w:val="24"/>
          <w:szCs w:val="24"/>
          <w:lang w:val="zh-CN"/>
        </w:rPr>
        <w:t>的资料；</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690"/>
          <w:tab w:val="num" w:pos="2280"/>
        </w:tabs>
        <w:adjustRightInd w:val="0"/>
        <w:spacing w:line="240" w:lineRule="auto"/>
        <w:ind w:left="1200" w:firstLine="480"/>
        <w:rPr>
          <w:sz w:val="24"/>
          <w:szCs w:val="24"/>
        </w:rPr>
      </w:pPr>
      <w:r w:rsidRPr="00C860F5">
        <w:rPr>
          <w:rFonts w:ascii="KaiTi" w:eastAsia="KaiTi" w:hAnsi="KaiTi"/>
          <w:sz w:val="24"/>
          <w:szCs w:val="24"/>
          <w:lang w:val="zh-CN"/>
        </w:rPr>
        <w:t>鼓励</w:t>
      </w:r>
      <w:r w:rsidRPr="00C860F5">
        <w:rPr>
          <w:sz w:val="24"/>
          <w:szCs w:val="24"/>
          <w:lang w:val="zh-CN"/>
        </w:rPr>
        <w:t>缔约方：</w:t>
      </w:r>
    </w:p>
    <w:p w:rsidR="0033786D" w:rsidRPr="00C860F5" w:rsidRDefault="0033786D" w:rsidP="0033786D">
      <w:pPr>
        <w:pStyle w:val="Normal-pool"/>
        <w:numPr>
          <w:ilvl w:val="1"/>
          <w:numId w:val="8"/>
        </w:numPr>
        <w:tabs>
          <w:tab w:val="clear" w:pos="1247"/>
          <w:tab w:val="clear" w:pos="1814"/>
          <w:tab w:val="clear" w:pos="2381"/>
          <w:tab w:val="clear" w:pos="2948"/>
          <w:tab w:val="clear" w:pos="3515"/>
          <w:tab w:val="clear" w:pos="4082"/>
          <w:tab w:val="num" w:pos="360"/>
          <w:tab w:val="left" w:pos="624"/>
          <w:tab w:val="left" w:pos="2280"/>
        </w:tabs>
        <w:spacing w:after="120"/>
        <w:ind w:left="1200" w:firstLine="480"/>
        <w:jc w:val="both"/>
        <w:rPr>
          <w:sz w:val="24"/>
          <w:szCs w:val="24"/>
          <w:lang w:eastAsia="zh-CN"/>
        </w:rPr>
      </w:pPr>
      <w:r w:rsidRPr="00C860F5">
        <w:rPr>
          <w:sz w:val="24"/>
          <w:szCs w:val="24"/>
          <w:lang w:val="zh-CN" w:eastAsia="zh-CN"/>
        </w:rPr>
        <w:t>如果尚未通过</w:t>
      </w:r>
      <w:r w:rsidRPr="00C860F5">
        <w:rPr>
          <w:rFonts w:asciiTheme="minorEastAsia" w:eastAsiaTheme="minorEastAsia" w:hAnsiTheme="minorEastAsia"/>
          <w:sz w:val="24"/>
          <w:szCs w:val="24"/>
          <w:lang w:val="zh-CN" w:eastAsia="zh-CN"/>
        </w:rPr>
        <w:t>“农药”一词的国家定义</w:t>
      </w:r>
      <w:r w:rsidRPr="00C860F5">
        <w:rPr>
          <w:sz w:val="24"/>
          <w:szCs w:val="24"/>
          <w:lang w:val="zh-CN" w:eastAsia="zh-CN"/>
        </w:rPr>
        <w:t>，</w:t>
      </w:r>
      <w:proofErr w:type="gramStart"/>
      <w:r w:rsidRPr="00C860F5">
        <w:rPr>
          <w:sz w:val="24"/>
          <w:szCs w:val="24"/>
          <w:lang w:val="zh-CN" w:eastAsia="zh-CN"/>
        </w:rPr>
        <w:t>则尽快</w:t>
      </w:r>
      <w:proofErr w:type="gramEnd"/>
      <w:r w:rsidRPr="00C860F5">
        <w:rPr>
          <w:sz w:val="24"/>
          <w:szCs w:val="24"/>
          <w:lang w:val="zh-CN" w:eastAsia="zh-CN"/>
        </w:rPr>
        <w:t>予以通过，如果在此过程中遇到困难，则请秘书处</w:t>
      </w:r>
      <w:r>
        <w:rPr>
          <w:rFonts w:hint="eastAsia"/>
          <w:sz w:val="24"/>
          <w:szCs w:val="24"/>
          <w:lang w:val="zh-CN" w:eastAsia="zh-CN"/>
        </w:rPr>
        <w:t>提</w:t>
      </w:r>
      <w:r w:rsidRPr="00C860F5">
        <w:rPr>
          <w:sz w:val="24"/>
          <w:szCs w:val="24"/>
          <w:lang w:val="zh-CN" w:eastAsia="zh-CN"/>
        </w:rPr>
        <w:t>供技术援助；提醒缔约方注意《国际农药管理行为守则》中有这一术语的定义；</w:t>
      </w:r>
    </w:p>
    <w:p w:rsidR="0033786D" w:rsidRPr="00C860F5" w:rsidRDefault="0033786D" w:rsidP="0033786D">
      <w:pPr>
        <w:pStyle w:val="Normal-pool"/>
        <w:numPr>
          <w:ilvl w:val="1"/>
          <w:numId w:val="8"/>
        </w:numPr>
        <w:tabs>
          <w:tab w:val="clear" w:pos="1247"/>
          <w:tab w:val="clear" w:pos="1814"/>
          <w:tab w:val="clear" w:pos="2381"/>
          <w:tab w:val="clear" w:pos="2948"/>
          <w:tab w:val="clear" w:pos="3515"/>
          <w:tab w:val="clear" w:pos="4082"/>
          <w:tab w:val="num" w:pos="360"/>
          <w:tab w:val="left" w:pos="624"/>
          <w:tab w:val="left" w:pos="2280"/>
        </w:tabs>
        <w:spacing w:after="120"/>
        <w:ind w:left="1200" w:firstLine="480"/>
        <w:jc w:val="both"/>
        <w:rPr>
          <w:sz w:val="24"/>
          <w:szCs w:val="24"/>
          <w:lang w:eastAsia="zh-CN"/>
        </w:rPr>
      </w:pPr>
      <w:r w:rsidRPr="00C860F5">
        <w:rPr>
          <w:sz w:val="24"/>
          <w:szCs w:val="24"/>
          <w:lang w:val="zh-CN" w:eastAsia="zh-CN"/>
        </w:rPr>
        <w:t>向秘书处通报</w:t>
      </w:r>
      <w:r w:rsidRPr="00C860F5">
        <w:rPr>
          <w:rFonts w:ascii="SimSun" w:hAnsi="SimSun"/>
          <w:sz w:val="24"/>
          <w:szCs w:val="24"/>
          <w:lang w:val="zh-CN" w:eastAsia="zh-CN"/>
        </w:rPr>
        <w:t>“农药”一</w:t>
      </w:r>
      <w:r w:rsidRPr="00C860F5">
        <w:rPr>
          <w:sz w:val="24"/>
          <w:szCs w:val="24"/>
          <w:lang w:val="zh-CN" w:eastAsia="zh-CN"/>
        </w:rPr>
        <w:t>词的国家定义</w:t>
      </w:r>
      <w:r w:rsidRPr="00C860F5">
        <w:rPr>
          <w:rFonts w:hint="eastAsia"/>
          <w:sz w:val="24"/>
          <w:szCs w:val="24"/>
          <w:lang w:val="zh-CN" w:eastAsia="zh-CN"/>
        </w:rPr>
        <w:t>；</w:t>
      </w:r>
    </w:p>
    <w:p w:rsidR="0033786D" w:rsidRPr="00C860F5" w:rsidRDefault="0033786D" w:rsidP="0033786D">
      <w:pPr>
        <w:pStyle w:val="Normal-pool"/>
        <w:numPr>
          <w:ilvl w:val="1"/>
          <w:numId w:val="8"/>
        </w:numPr>
        <w:tabs>
          <w:tab w:val="clear" w:pos="1247"/>
          <w:tab w:val="clear" w:pos="1814"/>
          <w:tab w:val="clear" w:pos="2381"/>
          <w:tab w:val="clear" w:pos="2948"/>
          <w:tab w:val="clear" w:pos="3515"/>
          <w:tab w:val="clear" w:pos="4082"/>
          <w:tab w:val="num" w:pos="360"/>
          <w:tab w:val="left" w:pos="624"/>
          <w:tab w:val="left" w:pos="2280"/>
        </w:tabs>
        <w:spacing w:after="120"/>
        <w:ind w:left="1200" w:firstLine="480"/>
        <w:jc w:val="both"/>
        <w:rPr>
          <w:sz w:val="24"/>
          <w:szCs w:val="24"/>
          <w:lang w:eastAsia="zh-CN"/>
        </w:rPr>
      </w:pPr>
      <w:r w:rsidRPr="00C860F5">
        <w:rPr>
          <w:sz w:val="24"/>
          <w:szCs w:val="24"/>
          <w:lang w:val="zh-CN" w:eastAsia="zh-CN"/>
        </w:rPr>
        <w:t>在通过出口通知和进口回复与其他缔约方</w:t>
      </w:r>
      <w:r w:rsidRPr="00506D78">
        <w:rPr>
          <w:sz w:val="24"/>
          <w:szCs w:val="24"/>
          <w:lang w:val="zh-CN" w:eastAsia="zh-CN"/>
        </w:rPr>
        <w:t>沟通</w:t>
      </w:r>
      <w:r w:rsidRPr="00C860F5">
        <w:rPr>
          <w:sz w:val="24"/>
          <w:szCs w:val="24"/>
          <w:lang w:val="zh-CN" w:eastAsia="zh-CN"/>
        </w:rPr>
        <w:t>时考虑到缔约方之间</w:t>
      </w:r>
      <w:r w:rsidRPr="00C860F5">
        <w:rPr>
          <w:rFonts w:ascii="SimSun" w:hAnsi="SimSun"/>
          <w:sz w:val="24"/>
          <w:szCs w:val="24"/>
          <w:lang w:val="zh-CN" w:eastAsia="zh-CN"/>
        </w:rPr>
        <w:t>对“农药”</w:t>
      </w:r>
      <w:r w:rsidRPr="00C860F5">
        <w:rPr>
          <w:sz w:val="24"/>
          <w:szCs w:val="24"/>
          <w:lang w:val="zh-CN" w:eastAsia="zh-CN"/>
        </w:rPr>
        <w:t>一词的定义差异</w:t>
      </w:r>
      <w:r w:rsidRPr="00C860F5">
        <w:rPr>
          <w:rFonts w:hint="eastAsia"/>
          <w:sz w:val="24"/>
          <w:szCs w:val="24"/>
          <w:lang w:val="zh-CN" w:eastAsia="zh-CN"/>
        </w:rPr>
        <w:t>；</w:t>
      </w:r>
    </w:p>
    <w:p w:rsidR="0033786D" w:rsidRPr="00C860F5" w:rsidRDefault="0033786D" w:rsidP="0033786D">
      <w:pPr>
        <w:pStyle w:val="Normal-pool"/>
        <w:numPr>
          <w:ilvl w:val="1"/>
          <w:numId w:val="5"/>
        </w:numPr>
        <w:tabs>
          <w:tab w:val="clear" w:pos="1247"/>
          <w:tab w:val="clear" w:pos="1814"/>
          <w:tab w:val="clear" w:pos="2381"/>
          <w:tab w:val="clear" w:pos="2948"/>
          <w:tab w:val="clear" w:pos="3515"/>
          <w:tab w:val="clear" w:pos="4082"/>
          <w:tab w:val="num" w:pos="360"/>
          <w:tab w:val="left" w:pos="624"/>
          <w:tab w:val="num" w:pos="2280"/>
        </w:tabs>
        <w:spacing w:after="120"/>
        <w:ind w:left="1200" w:firstLine="480"/>
        <w:jc w:val="both"/>
        <w:rPr>
          <w:sz w:val="24"/>
          <w:szCs w:val="24"/>
          <w:lang w:eastAsia="zh-CN"/>
        </w:rPr>
      </w:pPr>
      <w:r w:rsidRPr="00C860F5">
        <w:rPr>
          <w:sz w:val="24"/>
          <w:szCs w:val="24"/>
          <w:lang w:val="zh-CN" w:eastAsia="zh-CN"/>
        </w:rPr>
        <w:t>确保《</w:t>
      </w:r>
      <w:r w:rsidRPr="00C860F5">
        <w:rPr>
          <w:rFonts w:hint="eastAsia"/>
          <w:sz w:val="24"/>
          <w:szCs w:val="24"/>
          <w:lang w:val="zh-CN" w:eastAsia="zh-CN"/>
        </w:rPr>
        <w:t>鹿特丹</w:t>
      </w:r>
      <w:r w:rsidRPr="00C860F5">
        <w:rPr>
          <w:sz w:val="24"/>
          <w:szCs w:val="24"/>
          <w:lang w:val="zh-CN" w:eastAsia="zh-CN"/>
        </w:rPr>
        <w:t>公约》，特别是第</w:t>
      </w:r>
      <w:r w:rsidRPr="00C860F5">
        <w:rPr>
          <w:sz w:val="24"/>
          <w:szCs w:val="24"/>
          <w:lang w:val="zh-CN" w:eastAsia="zh-CN"/>
        </w:rPr>
        <w:t>5</w:t>
      </w:r>
      <w:r w:rsidRPr="00C860F5">
        <w:rPr>
          <w:sz w:val="24"/>
          <w:szCs w:val="24"/>
          <w:lang w:val="zh-CN" w:eastAsia="zh-CN"/>
        </w:rPr>
        <w:t>、第</w:t>
      </w:r>
      <w:r w:rsidRPr="00C860F5">
        <w:rPr>
          <w:sz w:val="24"/>
          <w:szCs w:val="24"/>
          <w:lang w:val="zh-CN" w:eastAsia="zh-CN"/>
        </w:rPr>
        <w:t>6</w:t>
      </w:r>
      <w:r w:rsidRPr="00C860F5">
        <w:rPr>
          <w:sz w:val="24"/>
          <w:szCs w:val="24"/>
          <w:lang w:val="zh-CN" w:eastAsia="zh-CN"/>
        </w:rPr>
        <w:t>和第</w:t>
      </w:r>
      <w:r w:rsidRPr="00C860F5">
        <w:rPr>
          <w:sz w:val="24"/>
          <w:szCs w:val="24"/>
          <w:lang w:val="zh-CN" w:eastAsia="zh-CN"/>
        </w:rPr>
        <w:t>10</w:t>
      </w:r>
      <w:r w:rsidRPr="00C860F5">
        <w:rPr>
          <w:sz w:val="24"/>
          <w:szCs w:val="24"/>
          <w:lang w:val="zh-CN" w:eastAsia="zh-CN"/>
        </w:rPr>
        <w:t>条的有效运</w:t>
      </w:r>
      <w:r w:rsidRPr="00C860F5">
        <w:rPr>
          <w:rFonts w:hint="eastAsia"/>
          <w:sz w:val="24"/>
          <w:szCs w:val="24"/>
          <w:lang w:val="zh-CN" w:eastAsia="zh-CN"/>
        </w:rPr>
        <w:t>行，为此应</w:t>
      </w:r>
      <w:r w:rsidRPr="00C860F5">
        <w:rPr>
          <w:sz w:val="24"/>
          <w:szCs w:val="24"/>
          <w:lang w:val="zh-CN" w:eastAsia="zh-CN"/>
        </w:rPr>
        <w:t>提交最后管制行动通知</w:t>
      </w:r>
      <w:r w:rsidRPr="00C860F5">
        <w:rPr>
          <w:rFonts w:hint="eastAsia"/>
          <w:sz w:val="24"/>
          <w:szCs w:val="24"/>
          <w:lang w:val="zh-CN" w:eastAsia="zh-CN"/>
        </w:rPr>
        <w:t>书</w:t>
      </w:r>
      <w:r w:rsidRPr="00C860F5">
        <w:rPr>
          <w:sz w:val="24"/>
          <w:szCs w:val="24"/>
          <w:lang w:val="zh-CN" w:eastAsia="zh-CN"/>
        </w:rPr>
        <w:t>、关于列入极为危险的农药制剂的提案以及对所列化学品的进口回复；</w:t>
      </w:r>
    </w:p>
    <w:p w:rsidR="0033786D" w:rsidRPr="00C860F5" w:rsidRDefault="0033786D" w:rsidP="0033786D">
      <w:pPr>
        <w:pStyle w:val="Normal-pool"/>
        <w:numPr>
          <w:ilvl w:val="1"/>
          <w:numId w:val="5"/>
        </w:numPr>
        <w:tabs>
          <w:tab w:val="clear" w:pos="2381"/>
          <w:tab w:val="clear" w:pos="2948"/>
          <w:tab w:val="num" w:pos="360"/>
          <w:tab w:val="left" w:pos="624"/>
          <w:tab w:val="left" w:pos="1871"/>
          <w:tab w:val="left" w:pos="2280"/>
          <w:tab w:val="left" w:pos="3119"/>
          <w:tab w:val="left" w:pos="3240"/>
          <w:tab w:val="num" w:pos="3935"/>
        </w:tabs>
        <w:spacing w:after="120"/>
        <w:ind w:left="1200" w:firstLine="480"/>
        <w:jc w:val="both"/>
        <w:rPr>
          <w:sz w:val="24"/>
          <w:szCs w:val="24"/>
          <w:lang w:eastAsia="zh-CN"/>
        </w:rPr>
      </w:pPr>
      <w:r w:rsidRPr="00C860F5">
        <w:rPr>
          <w:sz w:val="24"/>
          <w:szCs w:val="24"/>
          <w:lang w:val="zh-CN" w:eastAsia="zh-CN"/>
        </w:rPr>
        <w:t>使用最后管制行动评价工具包、</w:t>
      </w:r>
      <w:r w:rsidRPr="00C860F5">
        <w:rPr>
          <w:rFonts w:hint="eastAsia"/>
          <w:sz w:val="24"/>
          <w:szCs w:val="24"/>
          <w:lang w:val="zh-CN" w:eastAsia="zh-CN"/>
        </w:rPr>
        <w:t>组织间健全管理化学品方案的化学品管理决策工具箱</w:t>
      </w:r>
      <w:r w:rsidRPr="00C860F5">
        <w:rPr>
          <w:sz w:val="24"/>
          <w:szCs w:val="24"/>
          <w:lang w:val="zh-CN" w:eastAsia="zh-CN"/>
        </w:rPr>
        <w:t>，以及用于</w:t>
      </w:r>
      <w:r w:rsidRPr="00253354">
        <w:rPr>
          <w:sz w:val="24"/>
          <w:szCs w:val="24"/>
          <w:lang w:val="zh-CN" w:eastAsia="zh-CN"/>
        </w:rPr>
        <w:t>国家风险</w:t>
      </w:r>
      <w:r w:rsidRPr="000619DD">
        <w:rPr>
          <w:sz w:val="24"/>
          <w:szCs w:val="24"/>
          <w:lang w:val="zh-CN" w:eastAsia="zh-CN"/>
        </w:rPr>
        <w:t>评</w:t>
      </w:r>
      <w:r w:rsidRPr="000619DD">
        <w:rPr>
          <w:rFonts w:hint="eastAsia"/>
          <w:sz w:val="24"/>
          <w:szCs w:val="24"/>
          <w:lang w:val="zh-CN" w:eastAsia="zh-CN"/>
        </w:rPr>
        <w:t>价</w:t>
      </w:r>
      <w:r w:rsidRPr="00C860F5">
        <w:rPr>
          <w:sz w:val="24"/>
          <w:szCs w:val="24"/>
          <w:lang w:val="zh-CN" w:eastAsia="zh-CN"/>
        </w:rPr>
        <w:t>和决策与编制最后管制行动通知</w:t>
      </w:r>
      <w:r w:rsidRPr="00C860F5">
        <w:rPr>
          <w:rFonts w:hint="eastAsia"/>
          <w:sz w:val="24"/>
          <w:szCs w:val="24"/>
          <w:lang w:val="zh-CN" w:eastAsia="zh-CN"/>
        </w:rPr>
        <w:t>书</w:t>
      </w:r>
      <w:r w:rsidRPr="00C860F5">
        <w:rPr>
          <w:sz w:val="24"/>
          <w:szCs w:val="24"/>
          <w:lang w:val="zh-CN" w:eastAsia="zh-CN"/>
        </w:rPr>
        <w:t>的其他相关工具；</w:t>
      </w:r>
      <w:r w:rsidRPr="00C860F5">
        <w:rPr>
          <w:rFonts w:hint="eastAsia"/>
          <w:sz w:val="24"/>
          <w:szCs w:val="24"/>
          <w:lang w:val="zh-CN" w:eastAsia="zh-CN"/>
        </w:rPr>
        <w:t xml:space="preserve"> </w:t>
      </w:r>
    </w:p>
    <w:p w:rsidR="0033786D" w:rsidRPr="00C860F5" w:rsidRDefault="0033786D" w:rsidP="0033786D">
      <w:pPr>
        <w:pStyle w:val="Normal-pool"/>
        <w:numPr>
          <w:ilvl w:val="1"/>
          <w:numId w:val="5"/>
        </w:numPr>
        <w:tabs>
          <w:tab w:val="clear" w:pos="2381"/>
          <w:tab w:val="clear" w:pos="2948"/>
          <w:tab w:val="num" w:pos="360"/>
          <w:tab w:val="left" w:pos="624"/>
          <w:tab w:val="left" w:pos="1871"/>
          <w:tab w:val="left" w:pos="2280"/>
          <w:tab w:val="left" w:pos="3119"/>
          <w:tab w:val="left" w:pos="3240"/>
        </w:tabs>
        <w:spacing w:after="120"/>
        <w:ind w:left="1200" w:firstLine="480"/>
        <w:jc w:val="both"/>
        <w:rPr>
          <w:iCs/>
          <w:sz w:val="24"/>
          <w:szCs w:val="24"/>
          <w:lang w:eastAsia="zh-CN"/>
        </w:rPr>
      </w:pPr>
      <w:r w:rsidRPr="00C860F5">
        <w:rPr>
          <w:sz w:val="24"/>
          <w:szCs w:val="24"/>
          <w:lang w:val="zh-CN" w:eastAsia="zh-CN"/>
        </w:rPr>
        <w:t>向秘书处提供可能有助于其他缔约方编制和通知最后管制行动的信息，包括：</w:t>
      </w:r>
    </w:p>
    <w:p w:rsidR="0033786D" w:rsidRPr="00C860F5" w:rsidRDefault="0033786D" w:rsidP="0033786D">
      <w:pPr>
        <w:pStyle w:val="Normal-pool"/>
        <w:numPr>
          <w:ilvl w:val="2"/>
          <w:numId w:val="5"/>
        </w:numPr>
        <w:tabs>
          <w:tab w:val="clear" w:pos="1247"/>
          <w:tab w:val="clear" w:pos="1814"/>
          <w:tab w:val="clear" w:pos="2381"/>
          <w:tab w:val="clear" w:pos="2948"/>
          <w:tab w:val="clear" w:pos="3515"/>
          <w:tab w:val="clear" w:pos="4082"/>
          <w:tab w:val="num" w:pos="360"/>
          <w:tab w:val="left" w:pos="624"/>
          <w:tab w:val="left" w:pos="2280"/>
          <w:tab w:val="left" w:pos="2760"/>
          <w:tab w:val="left" w:pos="3000"/>
        </w:tabs>
        <w:spacing w:after="120"/>
        <w:ind w:left="1200" w:firstLine="960"/>
        <w:jc w:val="both"/>
        <w:rPr>
          <w:sz w:val="24"/>
          <w:szCs w:val="24"/>
          <w:lang w:eastAsia="zh-CN"/>
        </w:rPr>
      </w:pPr>
      <w:r w:rsidRPr="00C860F5">
        <w:rPr>
          <w:sz w:val="24"/>
          <w:szCs w:val="24"/>
          <w:lang w:val="zh-CN" w:eastAsia="zh-CN"/>
        </w:rPr>
        <w:t>与危险化学品和农药风险评</w:t>
      </w:r>
      <w:r>
        <w:rPr>
          <w:rFonts w:hint="eastAsia"/>
          <w:sz w:val="24"/>
          <w:szCs w:val="24"/>
          <w:lang w:val="zh-CN" w:eastAsia="zh-CN"/>
        </w:rPr>
        <w:t>价</w:t>
      </w:r>
      <w:r w:rsidRPr="00C860F5">
        <w:rPr>
          <w:sz w:val="24"/>
          <w:szCs w:val="24"/>
          <w:lang w:val="zh-CN" w:eastAsia="zh-CN"/>
        </w:rPr>
        <w:t>和决策相关的科学技术信息；</w:t>
      </w:r>
    </w:p>
    <w:p w:rsidR="0033786D" w:rsidRPr="00F37993" w:rsidRDefault="0033786D" w:rsidP="0033786D">
      <w:pPr>
        <w:pStyle w:val="Normal-pool"/>
        <w:numPr>
          <w:ilvl w:val="2"/>
          <w:numId w:val="5"/>
        </w:numPr>
        <w:tabs>
          <w:tab w:val="clear" w:pos="1247"/>
          <w:tab w:val="clear" w:pos="1814"/>
          <w:tab w:val="clear" w:pos="2381"/>
          <w:tab w:val="clear" w:pos="2948"/>
          <w:tab w:val="clear" w:pos="3515"/>
          <w:tab w:val="clear" w:pos="4082"/>
          <w:tab w:val="num" w:pos="360"/>
          <w:tab w:val="left" w:pos="624"/>
          <w:tab w:val="left" w:pos="2280"/>
          <w:tab w:val="left" w:pos="2760"/>
        </w:tabs>
        <w:spacing w:after="120"/>
        <w:ind w:left="1200" w:firstLine="960"/>
        <w:jc w:val="both"/>
        <w:rPr>
          <w:iCs/>
          <w:spacing w:val="-8"/>
          <w:sz w:val="24"/>
          <w:szCs w:val="24"/>
          <w:lang w:eastAsia="zh-CN"/>
        </w:rPr>
      </w:pPr>
      <w:r w:rsidRPr="00F37993">
        <w:rPr>
          <w:spacing w:val="-8"/>
          <w:sz w:val="24"/>
          <w:szCs w:val="24"/>
          <w:lang w:val="zh-CN" w:eastAsia="zh-CN"/>
        </w:rPr>
        <w:t>缔约方为实施和执行《公约》而通过的国家立法及其他措施的案文；</w:t>
      </w:r>
    </w:p>
    <w:p w:rsidR="0033786D" w:rsidRPr="00C860F5" w:rsidRDefault="0033786D" w:rsidP="0033786D">
      <w:pPr>
        <w:pStyle w:val="Normal-pool"/>
        <w:numPr>
          <w:ilvl w:val="1"/>
          <w:numId w:val="5"/>
        </w:numPr>
        <w:tabs>
          <w:tab w:val="clear" w:pos="2381"/>
          <w:tab w:val="clear" w:pos="2948"/>
          <w:tab w:val="num" w:pos="360"/>
          <w:tab w:val="left" w:pos="624"/>
          <w:tab w:val="left" w:pos="1871"/>
          <w:tab w:val="left" w:pos="2280"/>
          <w:tab w:val="left" w:pos="2610"/>
          <w:tab w:val="left" w:pos="3119"/>
          <w:tab w:val="left" w:pos="3240"/>
        </w:tabs>
        <w:spacing w:after="120"/>
        <w:ind w:left="1200" w:firstLine="480"/>
        <w:jc w:val="both"/>
        <w:rPr>
          <w:iCs/>
          <w:sz w:val="24"/>
          <w:szCs w:val="24"/>
          <w:lang w:eastAsia="zh-CN"/>
        </w:rPr>
      </w:pPr>
      <w:r w:rsidRPr="00C860F5">
        <w:rPr>
          <w:sz w:val="24"/>
          <w:szCs w:val="24"/>
          <w:lang w:val="zh-CN" w:eastAsia="zh-CN"/>
        </w:rPr>
        <w:t>通过提交对《公约》第</w:t>
      </w:r>
      <w:r w:rsidRPr="00C860F5">
        <w:rPr>
          <w:sz w:val="24"/>
          <w:szCs w:val="24"/>
          <w:lang w:val="zh-CN" w:eastAsia="zh-CN"/>
        </w:rPr>
        <w:t>11</w:t>
      </w:r>
      <w:r w:rsidRPr="00C860F5">
        <w:rPr>
          <w:sz w:val="24"/>
          <w:szCs w:val="24"/>
          <w:lang w:val="zh-CN" w:eastAsia="zh-CN"/>
        </w:rPr>
        <w:t>条第</w:t>
      </w:r>
      <w:r w:rsidRPr="00C860F5">
        <w:rPr>
          <w:sz w:val="24"/>
          <w:szCs w:val="24"/>
          <w:lang w:val="zh-CN" w:eastAsia="zh-CN"/>
        </w:rPr>
        <w:t>2</w:t>
      </w:r>
      <w:r w:rsidRPr="00C860F5">
        <w:rPr>
          <w:sz w:val="24"/>
          <w:szCs w:val="24"/>
          <w:lang w:val="zh-CN" w:eastAsia="zh-CN"/>
        </w:rPr>
        <w:t>款及第</w:t>
      </w:r>
      <w:r w:rsidRPr="00C860F5">
        <w:rPr>
          <w:sz w:val="24"/>
          <w:szCs w:val="24"/>
          <w:lang w:val="zh-CN" w:eastAsia="zh-CN"/>
        </w:rPr>
        <w:t>12</w:t>
      </w:r>
      <w:r w:rsidRPr="00C860F5">
        <w:rPr>
          <w:sz w:val="24"/>
          <w:szCs w:val="24"/>
          <w:lang w:val="zh-CN" w:eastAsia="zh-CN"/>
        </w:rPr>
        <w:t>条和第</w:t>
      </w:r>
      <w:r w:rsidRPr="00C860F5">
        <w:rPr>
          <w:sz w:val="24"/>
          <w:szCs w:val="24"/>
          <w:lang w:val="zh-CN" w:eastAsia="zh-CN"/>
        </w:rPr>
        <w:t>14</w:t>
      </w:r>
      <w:r w:rsidRPr="00C860F5">
        <w:rPr>
          <w:sz w:val="24"/>
          <w:szCs w:val="24"/>
          <w:lang w:val="zh-CN" w:eastAsia="zh-CN"/>
        </w:rPr>
        <w:t>条执行情况定期调查表的答复，提供关于这些条款执行情况的资料</w:t>
      </w:r>
      <w:r w:rsidRPr="00C860F5">
        <w:rPr>
          <w:rFonts w:hint="eastAsia"/>
          <w:sz w:val="24"/>
          <w:szCs w:val="24"/>
          <w:lang w:val="zh-CN" w:eastAsia="zh-CN"/>
        </w:rPr>
        <w:t>；</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1912"/>
          <w:tab w:val="left" w:pos="2430"/>
        </w:tabs>
        <w:adjustRightInd w:val="0"/>
        <w:spacing w:line="240" w:lineRule="auto"/>
        <w:ind w:left="1200" w:firstLine="480"/>
        <w:rPr>
          <w:sz w:val="24"/>
          <w:szCs w:val="24"/>
        </w:rPr>
      </w:pPr>
      <w:r w:rsidRPr="00C860F5">
        <w:rPr>
          <w:rFonts w:ascii="KaiTi" w:eastAsia="KaiTi" w:hAnsi="KaiTi"/>
          <w:sz w:val="24"/>
          <w:szCs w:val="24"/>
          <w:lang w:val="zh-CN"/>
        </w:rPr>
        <w:t>敦促</w:t>
      </w:r>
      <w:r w:rsidRPr="00C860F5">
        <w:rPr>
          <w:sz w:val="24"/>
          <w:szCs w:val="24"/>
          <w:lang w:val="zh-CN"/>
        </w:rPr>
        <w:t>缔约方：</w:t>
      </w:r>
    </w:p>
    <w:p w:rsidR="0033786D" w:rsidRPr="00C860F5" w:rsidRDefault="0033786D" w:rsidP="0033786D">
      <w:pPr>
        <w:pStyle w:val="Normal-pool"/>
        <w:numPr>
          <w:ilvl w:val="1"/>
          <w:numId w:val="7"/>
        </w:numPr>
        <w:tabs>
          <w:tab w:val="clear" w:pos="1247"/>
          <w:tab w:val="clear" w:pos="1814"/>
          <w:tab w:val="clear" w:pos="2381"/>
          <w:tab w:val="clear" w:pos="2948"/>
          <w:tab w:val="clear" w:pos="3515"/>
          <w:tab w:val="clear" w:pos="4082"/>
          <w:tab w:val="num" w:pos="360"/>
          <w:tab w:val="left" w:pos="624"/>
          <w:tab w:val="left" w:pos="2280"/>
          <w:tab w:val="left" w:pos="2430"/>
        </w:tabs>
        <w:spacing w:after="120"/>
        <w:ind w:left="1200" w:firstLine="480"/>
        <w:jc w:val="both"/>
        <w:rPr>
          <w:sz w:val="24"/>
          <w:szCs w:val="24"/>
          <w:lang w:eastAsia="zh-CN"/>
        </w:rPr>
      </w:pPr>
      <w:r w:rsidRPr="00C860F5">
        <w:rPr>
          <w:sz w:val="24"/>
          <w:szCs w:val="24"/>
          <w:lang w:val="zh-CN" w:eastAsia="zh-CN"/>
        </w:rPr>
        <w:t>确保有效执行《鹿特丹公约》第</w:t>
      </w:r>
      <w:r w:rsidRPr="00C860F5">
        <w:rPr>
          <w:sz w:val="24"/>
          <w:szCs w:val="24"/>
          <w:lang w:val="zh-CN" w:eastAsia="zh-CN"/>
        </w:rPr>
        <w:t>11</w:t>
      </w:r>
      <w:r w:rsidRPr="00C860F5">
        <w:rPr>
          <w:sz w:val="24"/>
          <w:szCs w:val="24"/>
          <w:lang w:val="zh-CN" w:eastAsia="zh-CN"/>
        </w:rPr>
        <w:t>条，这</w:t>
      </w:r>
      <w:r>
        <w:rPr>
          <w:rFonts w:hint="eastAsia"/>
          <w:sz w:val="24"/>
          <w:szCs w:val="24"/>
          <w:lang w:val="zh-CN" w:eastAsia="zh-CN"/>
        </w:rPr>
        <w:t>对于</w:t>
      </w:r>
      <w:r w:rsidRPr="00C860F5">
        <w:rPr>
          <w:sz w:val="24"/>
          <w:szCs w:val="24"/>
          <w:lang w:val="zh-CN" w:eastAsia="zh-CN"/>
        </w:rPr>
        <w:t>打击受《公约》制约的化学品</w:t>
      </w:r>
      <w:r w:rsidRPr="00C860F5">
        <w:rPr>
          <w:rFonts w:hint="eastAsia"/>
          <w:sz w:val="24"/>
          <w:szCs w:val="24"/>
          <w:lang w:val="zh-CN" w:eastAsia="zh-CN"/>
        </w:rPr>
        <w:t>的</w:t>
      </w:r>
      <w:r w:rsidRPr="00C860F5">
        <w:rPr>
          <w:sz w:val="24"/>
          <w:szCs w:val="24"/>
          <w:lang w:val="zh-CN" w:eastAsia="zh-CN"/>
        </w:rPr>
        <w:t>非法贸易</w:t>
      </w:r>
      <w:r>
        <w:rPr>
          <w:rFonts w:hint="eastAsia"/>
          <w:sz w:val="24"/>
          <w:szCs w:val="24"/>
          <w:lang w:val="zh-CN" w:eastAsia="zh-CN"/>
        </w:rPr>
        <w:t>具有重要意义</w:t>
      </w:r>
      <w:r w:rsidRPr="00C860F5">
        <w:rPr>
          <w:sz w:val="24"/>
          <w:szCs w:val="24"/>
          <w:lang w:val="zh-CN" w:eastAsia="zh-CN"/>
        </w:rPr>
        <w:t>；</w:t>
      </w:r>
    </w:p>
    <w:p w:rsidR="0033786D" w:rsidRPr="00C860F5" w:rsidRDefault="0033786D" w:rsidP="0033786D">
      <w:pPr>
        <w:pStyle w:val="Normal-pool"/>
        <w:numPr>
          <w:ilvl w:val="1"/>
          <w:numId w:val="7"/>
        </w:numPr>
        <w:tabs>
          <w:tab w:val="clear" w:pos="1247"/>
          <w:tab w:val="clear" w:pos="1814"/>
          <w:tab w:val="clear" w:pos="2381"/>
          <w:tab w:val="clear" w:pos="2948"/>
          <w:tab w:val="clear" w:pos="3515"/>
          <w:tab w:val="clear" w:pos="4082"/>
          <w:tab w:val="num" w:pos="360"/>
          <w:tab w:val="left" w:pos="624"/>
          <w:tab w:val="left" w:pos="2280"/>
          <w:tab w:val="left" w:pos="2610"/>
        </w:tabs>
        <w:spacing w:after="120"/>
        <w:ind w:left="1200" w:firstLine="480"/>
        <w:jc w:val="both"/>
        <w:rPr>
          <w:sz w:val="24"/>
          <w:szCs w:val="24"/>
          <w:lang w:eastAsia="zh-CN"/>
        </w:rPr>
      </w:pPr>
      <w:r w:rsidRPr="00C860F5">
        <w:rPr>
          <w:sz w:val="24"/>
          <w:szCs w:val="24"/>
          <w:lang w:val="zh-CN" w:eastAsia="zh-CN"/>
        </w:rPr>
        <w:t>确保适当执行第</w:t>
      </w:r>
      <w:r w:rsidRPr="00C860F5">
        <w:rPr>
          <w:sz w:val="24"/>
          <w:szCs w:val="24"/>
          <w:lang w:val="zh-CN" w:eastAsia="zh-CN"/>
        </w:rPr>
        <w:t>13</w:t>
      </w:r>
      <w:r w:rsidRPr="00C860F5">
        <w:rPr>
          <w:sz w:val="24"/>
          <w:szCs w:val="24"/>
          <w:lang w:val="zh-CN" w:eastAsia="zh-CN"/>
        </w:rPr>
        <w:t>条，其中规定</w:t>
      </w:r>
      <w:r>
        <w:rPr>
          <w:rFonts w:hint="eastAsia"/>
          <w:sz w:val="24"/>
          <w:szCs w:val="24"/>
          <w:lang w:val="zh-CN" w:eastAsia="zh-CN"/>
        </w:rPr>
        <w:t>关于</w:t>
      </w:r>
      <w:r w:rsidRPr="00C860F5">
        <w:rPr>
          <w:sz w:val="24"/>
          <w:szCs w:val="24"/>
          <w:lang w:val="zh-CN" w:eastAsia="zh-CN"/>
        </w:rPr>
        <w:t>用于职业目的的附件三所列化学品和</w:t>
      </w:r>
      <w:r>
        <w:rPr>
          <w:rFonts w:hint="eastAsia"/>
          <w:sz w:val="24"/>
          <w:szCs w:val="24"/>
          <w:lang w:val="zh-CN" w:eastAsia="zh-CN"/>
        </w:rPr>
        <w:t>在</w:t>
      </w:r>
      <w:r w:rsidRPr="00C860F5">
        <w:rPr>
          <w:sz w:val="24"/>
          <w:szCs w:val="24"/>
          <w:lang w:val="zh-CN" w:eastAsia="zh-CN"/>
        </w:rPr>
        <w:t>出口国境内禁用或严格限用的化学品</w:t>
      </w:r>
      <w:r>
        <w:rPr>
          <w:rFonts w:hint="eastAsia"/>
          <w:sz w:val="24"/>
          <w:szCs w:val="24"/>
          <w:lang w:val="zh-CN" w:eastAsia="zh-CN"/>
        </w:rPr>
        <w:t>，应要求向</w:t>
      </w:r>
      <w:r w:rsidRPr="00C860F5">
        <w:rPr>
          <w:sz w:val="24"/>
          <w:szCs w:val="24"/>
          <w:lang w:val="zh-CN" w:eastAsia="zh-CN"/>
        </w:rPr>
        <w:t>每个</w:t>
      </w:r>
      <w:r w:rsidRPr="003E0045">
        <w:rPr>
          <w:sz w:val="24"/>
          <w:szCs w:val="24"/>
          <w:lang w:val="zh-CN" w:eastAsia="zh-CN"/>
        </w:rPr>
        <w:t>进口商</w:t>
      </w:r>
      <w:r w:rsidRPr="00C860F5">
        <w:rPr>
          <w:sz w:val="24"/>
          <w:szCs w:val="24"/>
          <w:lang w:val="zh-CN" w:eastAsia="zh-CN"/>
        </w:rPr>
        <w:t>发送一份采用国际公认格式的安全数据单，数据单应尽可能以进口缔约方的一种或多种正式语文填写；</w:t>
      </w:r>
    </w:p>
    <w:p w:rsidR="0033786D" w:rsidRPr="00C860F5" w:rsidRDefault="0033786D" w:rsidP="0033786D">
      <w:pPr>
        <w:pStyle w:val="Normal-pool"/>
        <w:numPr>
          <w:ilvl w:val="1"/>
          <w:numId w:val="7"/>
        </w:numPr>
        <w:tabs>
          <w:tab w:val="clear" w:pos="1247"/>
          <w:tab w:val="clear" w:pos="1814"/>
          <w:tab w:val="clear" w:pos="2381"/>
          <w:tab w:val="clear" w:pos="2948"/>
          <w:tab w:val="clear" w:pos="3515"/>
          <w:tab w:val="clear" w:pos="4082"/>
          <w:tab w:val="num" w:pos="360"/>
          <w:tab w:val="left" w:pos="624"/>
          <w:tab w:val="left" w:pos="2280"/>
          <w:tab w:val="left" w:pos="2610"/>
        </w:tabs>
        <w:spacing w:after="120"/>
        <w:ind w:left="1200" w:firstLine="480"/>
        <w:jc w:val="both"/>
        <w:rPr>
          <w:sz w:val="24"/>
          <w:szCs w:val="24"/>
          <w:lang w:eastAsia="zh-CN"/>
        </w:rPr>
      </w:pPr>
      <w:r w:rsidRPr="00C860F5">
        <w:rPr>
          <w:sz w:val="24"/>
          <w:szCs w:val="24"/>
          <w:lang w:val="zh-CN" w:eastAsia="zh-CN"/>
        </w:rPr>
        <w:t>在附件三所列的单个化学品</w:t>
      </w:r>
      <w:proofErr w:type="gramStart"/>
      <w:r w:rsidRPr="00C860F5">
        <w:rPr>
          <w:sz w:val="24"/>
          <w:szCs w:val="24"/>
          <w:lang w:val="zh-CN" w:eastAsia="zh-CN"/>
        </w:rPr>
        <w:t>或某组化学品</w:t>
      </w:r>
      <w:proofErr w:type="gramEnd"/>
      <w:r w:rsidRPr="00C860F5">
        <w:rPr>
          <w:sz w:val="24"/>
          <w:szCs w:val="24"/>
          <w:lang w:val="zh-CN" w:eastAsia="zh-CN"/>
        </w:rPr>
        <w:t>已被指定协调制度海关编码的情况下，确保这些化学品出口时其装运单据上标明相应的编码</w:t>
      </w:r>
      <w:r w:rsidRPr="00C860F5">
        <w:rPr>
          <w:rFonts w:hint="eastAsia"/>
          <w:sz w:val="24"/>
          <w:szCs w:val="24"/>
          <w:lang w:val="zh-CN" w:eastAsia="zh-CN"/>
        </w:rPr>
        <w:t>；</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1127"/>
          <w:tab w:val="left" w:pos="2280"/>
        </w:tabs>
        <w:adjustRightInd w:val="0"/>
        <w:spacing w:line="240" w:lineRule="auto"/>
        <w:ind w:left="1200" w:firstLine="480"/>
        <w:rPr>
          <w:i/>
          <w:iCs/>
          <w:sz w:val="24"/>
          <w:szCs w:val="24"/>
        </w:rPr>
      </w:pPr>
      <w:r w:rsidRPr="00C860F5">
        <w:rPr>
          <w:rFonts w:ascii="KaiTi" w:eastAsia="KaiTi" w:hAnsi="KaiTi"/>
          <w:sz w:val="24"/>
          <w:szCs w:val="24"/>
          <w:lang w:val="zh-CN"/>
        </w:rPr>
        <w:lastRenderedPageBreak/>
        <w:t>决定</w:t>
      </w:r>
      <w:r w:rsidRPr="00C860F5">
        <w:rPr>
          <w:sz w:val="24"/>
          <w:szCs w:val="24"/>
          <w:lang w:val="zh-CN"/>
        </w:rPr>
        <w:t>为执行《鹿特丹公约》第</w:t>
      </w:r>
      <w:r w:rsidRPr="00C860F5">
        <w:rPr>
          <w:sz w:val="24"/>
          <w:szCs w:val="24"/>
          <w:lang w:val="zh-CN"/>
        </w:rPr>
        <w:t>5</w:t>
      </w:r>
      <w:r w:rsidRPr="00C860F5">
        <w:rPr>
          <w:sz w:val="24"/>
          <w:szCs w:val="24"/>
          <w:lang w:val="zh-CN"/>
        </w:rPr>
        <w:t>条第</w:t>
      </w:r>
      <w:r w:rsidRPr="00C860F5">
        <w:rPr>
          <w:sz w:val="24"/>
          <w:szCs w:val="24"/>
          <w:lang w:val="zh-CN"/>
        </w:rPr>
        <w:t>5</w:t>
      </w:r>
      <w:r w:rsidRPr="00C860F5">
        <w:rPr>
          <w:sz w:val="24"/>
          <w:szCs w:val="24"/>
          <w:lang w:val="zh-CN"/>
        </w:rPr>
        <w:t>款之目的，调整</w:t>
      </w:r>
      <w:r w:rsidRPr="00C860F5">
        <w:rPr>
          <w:sz w:val="24"/>
          <w:szCs w:val="24"/>
          <w:lang w:val="zh-CN"/>
        </w:rPr>
        <w:t>RC-1/2</w:t>
      </w:r>
      <w:r w:rsidRPr="00C860F5">
        <w:rPr>
          <w:sz w:val="24"/>
          <w:szCs w:val="24"/>
          <w:lang w:val="zh-CN"/>
        </w:rPr>
        <w:t>号决定附件</w:t>
      </w:r>
      <w:r w:rsidRPr="00C860F5">
        <w:rPr>
          <w:rFonts w:hint="eastAsia"/>
          <w:sz w:val="24"/>
          <w:szCs w:val="24"/>
          <w:lang w:val="zh-CN"/>
        </w:rPr>
        <w:t>所列</w:t>
      </w:r>
      <w:r w:rsidRPr="00C860F5">
        <w:rPr>
          <w:sz w:val="24"/>
          <w:szCs w:val="24"/>
          <w:lang w:val="zh-CN"/>
        </w:rPr>
        <w:t>的事先知情同意区域的组成，具体如下：</w:t>
      </w:r>
    </w:p>
    <w:p w:rsidR="0033786D" w:rsidRPr="00C860F5" w:rsidRDefault="0033786D" w:rsidP="0033786D">
      <w:pPr>
        <w:pStyle w:val="Normal-pool"/>
        <w:tabs>
          <w:tab w:val="clear" w:pos="1247"/>
          <w:tab w:val="clear" w:pos="1814"/>
          <w:tab w:val="clear" w:pos="2381"/>
          <w:tab w:val="clear" w:pos="2948"/>
          <w:tab w:val="clear" w:pos="3515"/>
          <w:tab w:val="left" w:pos="624"/>
          <w:tab w:val="left" w:pos="2610"/>
        </w:tabs>
        <w:spacing w:after="120"/>
        <w:ind w:left="1200" w:firstLine="480"/>
        <w:jc w:val="both"/>
        <w:rPr>
          <w:sz w:val="24"/>
          <w:szCs w:val="24"/>
          <w:lang w:eastAsia="zh-CN"/>
        </w:rPr>
      </w:pPr>
      <w:r w:rsidRPr="00C860F5">
        <w:rPr>
          <w:sz w:val="24"/>
          <w:szCs w:val="24"/>
          <w:lang w:val="zh-CN" w:eastAsia="zh-CN"/>
        </w:rPr>
        <w:t xml:space="preserve">(a)    </w:t>
      </w:r>
      <w:r w:rsidRPr="00C860F5">
        <w:rPr>
          <w:sz w:val="24"/>
          <w:szCs w:val="24"/>
          <w:lang w:val="zh-CN" w:eastAsia="zh-CN"/>
        </w:rPr>
        <w:t>在近东事先知情同意区域</w:t>
      </w:r>
      <w:r w:rsidRPr="00C860F5">
        <w:rPr>
          <w:rFonts w:hint="eastAsia"/>
          <w:sz w:val="24"/>
          <w:szCs w:val="24"/>
          <w:lang w:val="zh-CN" w:eastAsia="zh-CN"/>
        </w:rPr>
        <w:t>中</w:t>
      </w:r>
      <w:r w:rsidRPr="00C860F5">
        <w:rPr>
          <w:sz w:val="24"/>
          <w:szCs w:val="24"/>
          <w:lang w:val="zh-CN" w:eastAsia="zh-CN"/>
        </w:rPr>
        <w:t>增加巴勒斯坦国；</w:t>
      </w:r>
    </w:p>
    <w:p w:rsidR="0033786D" w:rsidRPr="00C860F5" w:rsidRDefault="0033786D" w:rsidP="0033786D">
      <w:pPr>
        <w:pStyle w:val="Normal-pool"/>
        <w:tabs>
          <w:tab w:val="clear" w:pos="1247"/>
          <w:tab w:val="clear" w:pos="1814"/>
          <w:tab w:val="clear" w:pos="2381"/>
          <w:tab w:val="clear" w:pos="2948"/>
          <w:tab w:val="clear" w:pos="3515"/>
          <w:tab w:val="left" w:pos="624"/>
          <w:tab w:val="left" w:pos="2610"/>
        </w:tabs>
        <w:spacing w:after="120"/>
        <w:ind w:left="1200" w:firstLine="480"/>
        <w:jc w:val="both"/>
        <w:rPr>
          <w:sz w:val="24"/>
          <w:szCs w:val="24"/>
          <w:lang w:eastAsia="zh-CN"/>
        </w:rPr>
      </w:pPr>
      <w:r w:rsidRPr="00C860F5">
        <w:rPr>
          <w:sz w:val="24"/>
          <w:szCs w:val="24"/>
          <w:lang w:val="zh-CN" w:eastAsia="zh-CN"/>
        </w:rPr>
        <w:t xml:space="preserve">(b)    </w:t>
      </w:r>
      <w:r w:rsidRPr="00C860F5">
        <w:rPr>
          <w:sz w:val="24"/>
          <w:szCs w:val="24"/>
          <w:lang w:val="zh-CN" w:eastAsia="zh-CN"/>
        </w:rPr>
        <w:t>在非洲事先知情同意区域</w:t>
      </w:r>
      <w:r w:rsidRPr="00C860F5">
        <w:rPr>
          <w:rFonts w:hint="eastAsia"/>
          <w:sz w:val="24"/>
          <w:szCs w:val="24"/>
          <w:lang w:val="zh-CN" w:eastAsia="zh-CN"/>
        </w:rPr>
        <w:t>中</w:t>
      </w:r>
      <w:r w:rsidRPr="00C860F5">
        <w:rPr>
          <w:sz w:val="24"/>
          <w:szCs w:val="24"/>
          <w:lang w:val="zh-CN" w:eastAsia="zh-CN"/>
        </w:rPr>
        <w:t>增加南苏丹；</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2160"/>
          <w:tab w:val="left" w:pos="2430"/>
          <w:tab w:val="left" w:pos="2520"/>
        </w:tabs>
        <w:adjustRightInd w:val="0"/>
        <w:spacing w:line="240" w:lineRule="auto"/>
        <w:ind w:left="1200" w:firstLine="480"/>
        <w:rPr>
          <w:rFonts w:eastAsiaTheme="minorEastAsia"/>
          <w:sz w:val="24"/>
          <w:szCs w:val="24"/>
        </w:rPr>
      </w:pPr>
      <w:r w:rsidRPr="00C860F5">
        <w:rPr>
          <w:rFonts w:ascii="KaiTi" w:eastAsia="KaiTi" w:hAnsi="KaiTi"/>
          <w:sz w:val="24"/>
          <w:szCs w:val="24"/>
          <w:lang w:val="zh-CN"/>
        </w:rPr>
        <w:t>请</w:t>
      </w:r>
      <w:r w:rsidRPr="00C860F5">
        <w:rPr>
          <w:sz w:val="24"/>
          <w:szCs w:val="24"/>
          <w:lang w:val="zh-CN"/>
        </w:rPr>
        <w:t>秘书处编制并</w:t>
      </w:r>
      <w:r w:rsidRPr="00C860F5">
        <w:rPr>
          <w:rFonts w:hint="eastAsia"/>
          <w:sz w:val="24"/>
          <w:szCs w:val="24"/>
          <w:lang w:val="zh-CN"/>
        </w:rPr>
        <w:t>维持</w:t>
      </w:r>
      <w:r w:rsidRPr="00C860F5">
        <w:rPr>
          <w:sz w:val="24"/>
          <w:szCs w:val="24"/>
          <w:lang w:val="zh-CN"/>
        </w:rPr>
        <w:t>一份</w:t>
      </w:r>
      <w:r w:rsidRPr="00C860F5">
        <w:rPr>
          <w:rFonts w:hint="eastAsia"/>
          <w:sz w:val="24"/>
          <w:szCs w:val="24"/>
          <w:lang w:val="zh-CN"/>
        </w:rPr>
        <w:t>关于</w:t>
      </w:r>
      <w:r w:rsidRPr="00C860F5">
        <w:rPr>
          <w:sz w:val="24"/>
          <w:szCs w:val="24"/>
          <w:lang w:val="zh-CN"/>
        </w:rPr>
        <w:t>事先知情同意区域组成</w:t>
      </w:r>
      <w:r w:rsidRPr="00C860F5">
        <w:rPr>
          <w:rFonts w:hint="eastAsia"/>
          <w:sz w:val="24"/>
          <w:szCs w:val="24"/>
          <w:lang w:val="zh-CN"/>
        </w:rPr>
        <w:t>的</w:t>
      </w:r>
      <w:r>
        <w:rPr>
          <w:rFonts w:hint="eastAsia"/>
          <w:sz w:val="24"/>
          <w:szCs w:val="24"/>
          <w:lang w:val="zh-CN"/>
        </w:rPr>
        <w:t>订正</w:t>
      </w:r>
      <w:r w:rsidRPr="00C860F5">
        <w:rPr>
          <w:sz w:val="24"/>
          <w:szCs w:val="24"/>
          <w:lang w:val="zh-CN"/>
        </w:rPr>
        <w:t>清单，其中应反映缔约方名称的发生的任何变化，并在</w:t>
      </w:r>
      <w:r w:rsidRPr="00C860F5">
        <w:rPr>
          <w:rFonts w:hint="eastAsia"/>
          <w:sz w:val="24"/>
          <w:szCs w:val="24"/>
          <w:lang w:val="zh-CN"/>
        </w:rPr>
        <w:t>鹿特丹</w:t>
      </w:r>
      <w:r w:rsidRPr="00C860F5">
        <w:rPr>
          <w:sz w:val="24"/>
          <w:szCs w:val="24"/>
          <w:lang w:val="zh-CN"/>
        </w:rPr>
        <w:t>公约网站上公布；</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2280"/>
        </w:tabs>
        <w:adjustRightInd w:val="0"/>
        <w:spacing w:line="240" w:lineRule="auto"/>
        <w:ind w:left="1200" w:firstLine="480"/>
        <w:rPr>
          <w:i/>
          <w:iCs/>
          <w:sz w:val="24"/>
          <w:szCs w:val="24"/>
        </w:rPr>
      </w:pPr>
      <w:r w:rsidRPr="00C860F5">
        <w:rPr>
          <w:rFonts w:ascii="KaiTi" w:eastAsia="KaiTi" w:hAnsi="KaiTi" w:hint="eastAsia"/>
          <w:sz w:val="24"/>
          <w:szCs w:val="24"/>
          <w:lang w:val="zh-CN"/>
        </w:rPr>
        <w:t>又</w:t>
      </w:r>
      <w:r w:rsidRPr="00C860F5">
        <w:rPr>
          <w:rFonts w:ascii="KaiTi" w:eastAsia="KaiTi" w:hAnsi="KaiTi"/>
          <w:sz w:val="24"/>
          <w:szCs w:val="24"/>
          <w:lang w:val="zh-CN"/>
        </w:rPr>
        <w:t>请</w:t>
      </w:r>
      <w:r w:rsidRPr="00C860F5">
        <w:rPr>
          <w:sz w:val="24"/>
          <w:szCs w:val="24"/>
          <w:lang w:val="zh-CN"/>
        </w:rPr>
        <w:t>秘书处继续监测并向缔约方大会报告任何可能需要改变事先知情同意区域组成的情况；</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2280"/>
        </w:tabs>
        <w:adjustRightInd w:val="0"/>
        <w:spacing w:line="240" w:lineRule="auto"/>
        <w:ind w:left="1200" w:firstLine="480"/>
        <w:rPr>
          <w:sz w:val="24"/>
          <w:szCs w:val="24"/>
        </w:rPr>
      </w:pPr>
      <w:r w:rsidRPr="00C860F5">
        <w:rPr>
          <w:rFonts w:ascii="KaiTi" w:eastAsia="KaiTi" w:hAnsi="KaiTi"/>
          <w:sz w:val="24"/>
          <w:szCs w:val="24"/>
          <w:lang w:val="zh-CN"/>
        </w:rPr>
        <w:t>邀请</w:t>
      </w:r>
      <w:r w:rsidRPr="00C860F5">
        <w:rPr>
          <w:sz w:val="24"/>
          <w:szCs w:val="24"/>
          <w:lang w:val="zh-CN"/>
        </w:rPr>
        <w:t>缔约方、非缔约方、业界、民间社会和其他利益攸关方向秘书处提供：</w:t>
      </w:r>
    </w:p>
    <w:p w:rsidR="0033786D" w:rsidRPr="00A27BF1" w:rsidRDefault="0033786D" w:rsidP="0033786D">
      <w:pPr>
        <w:pStyle w:val="Normal-pool"/>
        <w:numPr>
          <w:ilvl w:val="1"/>
          <w:numId w:val="3"/>
        </w:numPr>
        <w:tabs>
          <w:tab w:val="clear" w:pos="1247"/>
          <w:tab w:val="clear" w:pos="1814"/>
          <w:tab w:val="clear" w:pos="2381"/>
          <w:tab w:val="clear" w:pos="2948"/>
          <w:tab w:val="clear" w:pos="3515"/>
          <w:tab w:val="clear" w:pos="4082"/>
          <w:tab w:val="num" w:pos="360"/>
          <w:tab w:val="left" w:pos="624"/>
          <w:tab w:val="left" w:pos="2280"/>
        </w:tabs>
        <w:spacing w:after="120"/>
        <w:ind w:left="1200" w:firstLine="480"/>
        <w:jc w:val="both"/>
        <w:rPr>
          <w:spacing w:val="-10"/>
          <w:sz w:val="24"/>
          <w:szCs w:val="24"/>
          <w:lang w:eastAsia="zh-CN"/>
        </w:rPr>
      </w:pPr>
      <w:r w:rsidRPr="00A27BF1">
        <w:rPr>
          <w:spacing w:val="-10"/>
          <w:sz w:val="24"/>
          <w:szCs w:val="24"/>
          <w:lang w:val="zh-CN" w:eastAsia="zh-CN"/>
        </w:rPr>
        <w:t>关于列入或建议列入《</w:t>
      </w:r>
      <w:r w:rsidRPr="00A27BF1">
        <w:rPr>
          <w:rFonts w:hint="eastAsia"/>
          <w:spacing w:val="-10"/>
          <w:sz w:val="24"/>
          <w:szCs w:val="24"/>
          <w:lang w:val="zh-CN" w:eastAsia="zh-CN"/>
        </w:rPr>
        <w:t>鹿特丹</w:t>
      </w:r>
      <w:r w:rsidRPr="00A27BF1">
        <w:rPr>
          <w:spacing w:val="-10"/>
          <w:sz w:val="24"/>
          <w:szCs w:val="24"/>
          <w:lang w:val="zh-CN" w:eastAsia="zh-CN"/>
        </w:rPr>
        <w:t>公约》附件三的化学品的国际贸易数据；</w:t>
      </w:r>
    </w:p>
    <w:p w:rsidR="0033786D" w:rsidRPr="00C860F5" w:rsidRDefault="0033786D" w:rsidP="0033786D">
      <w:pPr>
        <w:pStyle w:val="Normal-pool"/>
        <w:numPr>
          <w:ilvl w:val="1"/>
          <w:numId w:val="3"/>
        </w:numPr>
        <w:tabs>
          <w:tab w:val="clear" w:pos="1247"/>
          <w:tab w:val="clear" w:pos="1814"/>
          <w:tab w:val="clear" w:pos="2381"/>
          <w:tab w:val="clear" w:pos="2948"/>
          <w:tab w:val="clear" w:pos="3515"/>
          <w:tab w:val="clear" w:pos="4082"/>
          <w:tab w:val="num" w:pos="360"/>
          <w:tab w:val="left" w:pos="624"/>
          <w:tab w:val="left" w:pos="2280"/>
        </w:tabs>
        <w:spacing w:after="120"/>
        <w:ind w:left="1200" w:firstLine="480"/>
        <w:jc w:val="both"/>
        <w:rPr>
          <w:sz w:val="24"/>
          <w:szCs w:val="24"/>
          <w:lang w:eastAsia="zh-CN"/>
        </w:rPr>
      </w:pPr>
      <w:r w:rsidRPr="00C860F5">
        <w:rPr>
          <w:sz w:val="24"/>
          <w:szCs w:val="24"/>
          <w:lang w:val="zh-CN" w:eastAsia="zh-CN"/>
        </w:rPr>
        <w:t>关于将化学品列入《公约》附件三的可衡量影响的信息；</w:t>
      </w:r>
    </w:p>
    <w:p w:rsidR="0033786D" w:rsidRPr="00C860F5" w:rsidRDefault="0033786D" w:rsidP="0033786D">
      <w:pPr>
        <w:numPr>
          <w:ilvl w:val="0"/>
          <w:numId w:val="4"/>
        </w:numPr>
        <w:tabs>
          <w:tab w:val="clear" w:pos="1247"/>
          <w:tab w:val="clear" w:pos="1814"/>
          <w:tab w:val="clear" w:pos="2381"/>
          <w:tab w:val="clear" w:pos="2948"/>
          <w:tab w:val="clear" w:pos="3515"/>
          <w:tab w:val="left" w:pos="624"/>
          <w:tab w:val="num" w:pos="2160"/>
          <w:tab w:val="left" w:pos="2520"/>
        </w:tabs>
        <w:adjustRightInd w:val="0"/>
        <w:spacing w:line="240" w:lineRule="auto"/>
        <w:ind w:left="1200" w:firstLine="480"/>
        <w:rPr>
          <w:sz w:val="24"/>
          <w:szCs w:val="24"/>
        </w:rPr>
      </w:pPr>
      <w:r w:rsidRPr="00C860F5">
        <w:rPr>
          <w:rFonts w:ascii="KaiTi" w:eastAsia="KaiTi" w:hAnsi="KaiTi"/>
          <w:sz w:val="24"/>
          <w:szCs w:val="24"/>
          <w:lang w:val="zh-CN"/>
        </w:rPr>
        <w:t>请</w:t>
      </w:r>
      <w:r w:rsidRPr="00C860F5">
        <w:rPr>
          <w:sz w:val="24"/>
          <w:szCs w:val="24"/>
          <w:lang w:val="zh-CN"/>
        </w:rPr>
        <w:t>秘书处：</w:t>
      </w:r>
    </w:p>
    <w:p w:rsidR="0033786D" w:rsidRPr="00C860F5" w:rsidRDefault="0033786D" w:rsidP="0033786D">
      <w:pPr>
        <w:pStyle w:val="Normal-pool"/>
        <w:numPr>
          <w:ilvl w:val="1"/>
          <w:numId w:val="6"/>
        </w:numPr>
        <w:tabs>
          <w:tab w:val="clear" w:pos="1247"/>
          <w:tab w:val="clear" w:pos="1814"/>
          <w:tab w:val="clear" w:pos="2381"/>
          <w:tab w:val="clear" w:pos="2948"/>
          <w:tab w:val="clear" w:pos="3515"/>
          <w:tab w:val="clear" w:pos="4082"/>
          <w:tab w:val="num" w:pos="360"/>
          <w:tab w:val="left" w:pos="624"/>
          <w:tab w:val="left" w:pos="2160"/>
          <w:tab w:val="left" w:pos="2610"/>
        </w:tabs>
        <w:spacing w:after="120"/>
        <w:ind w:left="1200" w:firstLine="480"/>
        <w:jc w:val="both"/>
        <w:rPr>
          <w:sz w:val="24"/>
          <w:szCs w:val="24"/>
          <w:lang w:eastAsia="zh-CN"/>
        </w:rPr>
      </w:pPr>
      <w:r w:rsidRPr="00C860F5">
        <w:rPr>
          <w:sz w:val="24"/>
          <w:szCs w:val="24"/>
          <w:lang w:val="zh-CN" w:eastAsia="zh-CN"/>
        </w:rPr>
        <w:t>继续以方便用户的格式收集并向缔约方和其他利益攸关方提供本决定第</w:t>
      </w:r>
      <w:r w:rsidRPr="00C860F5">
        <w:rPr>
          <w:sz w:val="24"/>
          <w:szCs w:val="24"/>
          <w:lang w:val="zh-CN" w:eastAsia="zh-CN"/>
        </w:rPr>
        <w:t>2 (f)</w:t>
      </w:r>
      <w:r w:rsidRPr="00C860F5">
        <w:rPr>
          <w:sz w:val="24"/>
          <w:szCs w:val="24"/>
          <w:lang w:val="zh-CN" w:eastAsia="zh-CN"/>
        </w:rPr>
        <w:t>和第</w:t>
      </w:r>
      <w:r w:rsidRPr="00C860F5">
        <w:rPr>
          <w:sz w:val="24"/>
          <w:szCs w:val="24"/>
          <w:lang w:val="zh-CN" w:eastAsia="zh-CN"/>
        </w:rPr>
        <w:t>7</w:t>
      </w:r>
      <w:r w:rsidRPr="00C860F5">
        <w:rPr>
          <w:sz w:val="24"/>
          <w:szCs w:val="24"/>
          <w:lang w:val="zh-CN" w:eastAsia="zh-CN"/>
        </w:rPr>
        <w:t>段所述信息；</w:t>
      </w:r>
    </w:p>
    <w:p w:rsidR="0033786D" w:rsidRPr="00C860F5" w:rsidRDefault="0033786D" w:rsidP="0033786D">
      <w:pPr>
        <w:pStyle w:val="Normal-pool"/>
        <w:numPr>
          <w:ilvl w:val="1"/>
          <w:numId w:val="6"/>
        </w:numPr>
        <w:tabs>
          <w:tab w:val="clear" w:pos="1247"/>
          <w:tab w:val="clear" w:pos="1814"/>
          <w:tab w:val="clear" w:pos="2381"/>
          <w:tab w:val="clear" w:pos="2948"/>
          <w:tab w:val="clear" w:pos="3515"/>
          <w:tab w:val="clear" w:pos="4082"/>
          <w:tab w:val="num" w:pos="360"/>
          <w:tab w:val="left" w:pos="624"/>
          <w:tab w:val="left" w:pos="2160"/>
          <w:tab w:val="left" w:pos="2610"/>
        </w:tabs>
        <w:spacing w:after="120"/>
        <w:ind w:left="1200" w:firstLine="480"/>
        <w:jc w:val="both"/>
        <w:rPr>
          <w:sz w:val="24"/>
          <w:szCs w:val="24"/>
          <w:lang w:eastAsia="zh-CN"/>
        </w:rPr>
      </w:pPr>
      <w:r w:rsidRPr="00C860F5">
        <w:rPr>
          <w:sz w:val="24"/>
          <w:szCs w:val="24"/>
          <w:lang w:val="zh-CN" w:eastAsia="zh-CN"/>
        </w:rPr>
        <w:t>在资源允许的情况下向缔约方提供援助，以促进执行《鹿特丹公约》，包括提交进口回复</w:t>
      </w:r>
      <w:r w:rsidRPr="00C860F5">
        <w:rPr>
          <w:rFonts w:hint="eastAsia"/>
          <w:sz w:val="24"/>
          <w:szCs w:val="24"/>
          <w:lang w:val="zh-CN" w:eastAsia="zh-CN"/>
        </w:rPr>
        <w:t>；</w:t>
      </w:r>
    </w:p>
    <w:p w:rsidR="0033786D" w:rsidRPr="00C860F5" w:rsidRDefault="0033786D" w:rsidP="0033786D">
      <w:pPr>
        <w:pStyle w:val="Normal-pool"/>
        <w:numPr>
          <w:ilvl w:val="1"/>
          <w:numId w:val="6"/>
        </w:numPr>
        <w:tabs>
          <w:tab w:val="clear" w:pos="1247"/>
          <w:tab w:val="clear" w:pos="1814"/>
          <w:tab w:val="clear" w:pos="2381"/>
          <w:tab w:val="clear" w:pos="2948"/>
          <w:tab w:val="clear" w:pos="3515"/>
          <w:tab w:val="clear" w:pos="4082"/>
          <w:tab w:val="num" w:pos="360"/>
          <w:tab w:val="left" w:pos="624"/>
          <w:tab w:val="left" w:pos="2160"/>
          <w:tab w:val="left" w:pos="2610"/>
        </w:tabs>
        <w:spacing w:after="120"/>
        <w:ind w:left="1200" w:firstLine="480"/>
        <w:jc w:val="both"/>
        <w:rPr>
          <w:sz w:val="24"/>
          <w:szCs w:val="24"/>
          <w:lang w:eastAsia="zh-CN"/>
        </w:rPr>
      </w:pPr>
      <w:r w:rsidRPr="00C860F5">
        <w:rPr>
          <w:sz w:val="24"/>
          <w:szCs w:val="24"/>
          <w:lang w:val="zh-CN" w:eastAsia="zh-CN"/>
        </w:rPr>
        <w:t>在资源允许的情况下向缔约方提供援助，以促进提交最后管制行动通知</w:t>
      </w:r>
      <w:r w:rsidRPr="00C860F5">
        <w:rPr>
          <w:rFonts w:hint="eastAsia"/>
          <w:sz w:val="24"/>
          <w:szCs w:val="24"/>
          <w:lang w:val="zh-CN" w:eastAsia="zh-CN"/>
        </w:rPr>
        <w:t>书</w:t>
      </w:r>
      <w:r w:rsidRPr="00C860F5">
        <w:rPr>
          <w:sz w:val="24"/>
          <w:szCs w:val="24"/>
          <w:lang w:val="zh-CN" w:eastAsia="zh-CN"/>
        </w:rPr>
        <w:t>和关于列入极为危险的农药制剂的提案，包括个别援助，以确保通知</w:t>
      </w:r>
      <w:r w:rsidRPr="00C860F5">
        <w:rPr>
          <w:rFonts w:hint="eastAsia"/>
          <w:sz w:val="24"/>
          <w:szCs w:val="24"/>
          <w:lang w:val="zh-CN" w:eastAsia="zh-CN"/>
        </w:rPr>
        <w:t>书</w:t>
      </w:r>
      <w:r w:rsidRPr="00C860F5">
        <w:rPr>
          <w:sz w:val="24"/>
          <w:szCs w:val="24"/>
          <w:lang w:val="zh-CN" w:eastAsia="zh-CN"/>
        </w:rPr>
        <w:t>和提案符合《公约》附件一或附件四（视情而定）的信息要求；</w:t>
      </w:r>
    </w:p>
    <w:p w:rsidR="0033786D" w:rsidRPr="00C860F5" w:rsidRDefault="0033786D" w:rsidP="0033786D">
      <w:pPr>
        <w:pStyle w:val="Normal-pool"/>
        <w:numPr>
          <w:ilvl w:val="1"/>
          <w:numId w:val="6"/>
        </w:numPr>
        <w:tabs>
          <w:tab w:val="clear" w:pos="1247"/>
          <w:tab w:val="clear" w:pos="1814"/>
          <w:tab w:val="clear" w:pos="2381"/>
          <w:tab w:val="clear" w:pos="2948"/>
          <w:tab w:val="clear" w:pos="3515"/>
          <w:tab w:val="clear" w:pos="4082"/>
          <w:tab w:val="num" w:pos="360"/>
          <w:tab w:val="left" w:pos="624"/>
          <w:tab w:val="left" w:pos="2160"/>
          <w:tab w:val="left" w:pos="2610"/>
        </w:tabs>
        <w:spacing w:after="120"/>
        <w:ind w:left="1200" w:firstLine="480"/>
        <w:jc w:val="both"/>
        <w:rPr>
          <w:sz w:val="24"/>
          <w:szCs w:val="24"/>
          <w:lang w:eastAsia="zh-CN"/>
        </w:rPr>
      </w:pPr>
      <w:r w:rsidRPr="00C860F5">
        <w:rPr>
          <w:sz w:val="24"/>
          <w:szCs w:val="24"/>
          <w:lang w:val="zh-CN" w:eastAsia="zh-CN"/>
        </w:rPr>
        <w:t>在资源允许的情况下</w:t>
      </w:r>
      <w:r w:rsidRPr="00C860F5">
        <w:rPr>
          <w:rFonts w:hint="eastAsia"/>
          <w:sz w:val="24"/>
          <w:szCs w:val="24"/>
          <w:lang w:val="zh-CN" w:eastAsia="zh-CN"/>
        </w:rPr>
        <w:t>，</w:t>
      </w:r>
      <w:r w:rsidRPr="00C860F5">
        <w:rPr>
          <w:sz w:val="24"/>
          <w:szCs w:val="24"/>
          <w:lang w:val="zh-CN" w:eastAsia="zh-CN"/>
        </w:rPr>
        <w:t>继续收集关于缔约方适用</w:t>
      </w:r>
      <w:r w:rsidRPr="00C860F5">
        <w:rPr>
          <w:rFonts w:ascii="SimSun" w:hAnsi="SimSun"/>
          <w:sz w:val="24"/>
          <w:szCs w:val="24"/>
          <w:lang w:val="zh-CN" w:eastAsia="zh-CN"/>
        </w:rPr>
        <w:t>的“农药”</w:t>
      </w:r>
      <w:r w:rsidRPr="00C860F5">
        <w:rPr>
          <w:sz w:val="24"/>
          <w:szCs w:val="24"/>
          <w:lang w:val="zh-CN" w:eastAsia="zh-CN"/>
        </w:rPr>
        <w:t>一词定义的信息，并将其提供给缔约方和其他利益攸关方</w:t>
      </w:r>
      <w:r w:rsidRPr="00C860F5">
        <w:rPr>
          <w:rFonts w:hint="eastAsia"/>
          <w:sz w:val="24"/>
          <w:szCs w:val="24"/>
          <w:lang w:val="zh-CN" w:eastAsia="zh-CN"/>
        </w:rPr>
        <w:t>；</w:t>
      </w:r>
    </w:p>
    <w:p w:rsidR="0033786D" w:rsidRPr="00C860F5" w:rsidRDefault="0033786D" w:rsidP="0033786D">
      <w:pPr>
        <w:pStyle w:val="Normal-pool"/>
        <w:numPr>
          <w:ilvl w:val="1"/>
          <w:numId w:val="6"/>
        </w:numPr>
        <w:tabs>
          <w:tab w:val="clear" w:pos="1247"/>
          <w:tab w:val="clear" w:pos="1814"/>
          <w:tab w:val="clear" w:pos="2381"/>
          <w:tab w:val="clear" w:pos="2948"/>
          <w:tab w:val="clear" w:pos="3515"/>
          <w:tab w:val="clear" w:pos="4082"/>
          <w:tab w:val="num" w:pos="360"/>
          <w:tab w:val="left" w:pos="624"/>
          <w:tab w:val="left" w:pos="2160"/>
          <w:tab w:val="left" w:pos="2610"/>
        </w:tabs>
        <w:spacing w:after="120"/>
        <w:ind w:left="1200" w:firstLine="480"/>
        <w:jc w:val="both"/>
        <w:rPr>
          <w:sz w:val="24"/>
          <w:szCs w:val="24"/>
          <w:lang w:eastAsia="zh-CN"/>
        </w:rPr>
      </w:pPr>
      <w:r w:rsidRPr="00C860F5">
        <w:rPr>
          <w:sz w:val="24"/>
          <w:szCs w:val="24"/>
          <w:lang w:val="zh-CN" w:eastAsia="zh-CN"/>
        </w:rPr>
        <w:t>在资源允许的情况下，通过促进信息交流并应请求协助缔约</w:t>
      </w:r>
      <w:proofErr w:type="gramStart"/>
      <w:r w:rsidRPr="00C860F5">
        <w:rPr>
          <w:sz w:val="24"/>
          <w:szCs w:val="24"/>
          <w:lang w:val="zh-CN" w:eastAsia="zh-CN"/>
        </w:rPr>
        <w:t>方执行</w:t>
      </w:r>
      <w:proofErr w:type="gramEnd"/>
      <w:r w:rsidRPr="00C860F5">
        <w:rPr>
          <w:sz w:val="24"/>
          <w:szCs w:val="24"/>
          <w:lang w:val="zh-CN" w:eastAsia="zh-CN"/>
        </w:rPr>
        <w:t>《公约》第</w:t>
      </w:r>
      <w:r w:rsidRPr="00C860F5">
        <w:rPr>
          <w:sz w:val="24"/>
          <w:szCs w:val="24"/>
          <w:lang w:val="zh-CN" w:eastAsia="zh-CN"/>
        </w:rPr>
        <w:t>11</w:t>
      </w:r>
      <w:r w:rsidRPr="00C860F5">
        <w:rPr>
          <w:sz w:val="24"/>
          <w:szCs w:val="24"/>
          <w:lang w:val="zh-CN" w:eastAsia="zh-CN"/>
        </w:rPr>
        <w:t>条第</w:t>
      </w:r>
      <w:r w:rsidRPr="00C860F5">
        <w:rPr>
          <w:sz w:val="24"/>
          <w:szCs w:val="24"/>
          <w:lang w:val="zh-CN" w:eastAsia="zh-CN"/>
        </w:rPr>
        <w:t>2 (c)</w:t>
      </w:r>
      <w:r w:rsidRPr="00C860F5">
        <w:rPr>
          <w:sz w:val="24"/>
          <w:szCs w:val="24"/>
          <w:lang w:val="zh-CN" w:eastAsia="zh-CN"/>
        </w:rPr>
        <w:t>款以及第</w:t>
      </w:r>
      <w:r w:rsidRPr="00C860F5">
        <w:rPr>
          <w:sz w:val="24"/>
          <w:szCs w:val="24"/>
          <w:lang w:val="zh-CN" w:eastAsia="zh-CN"/>
        </w:rPr>
        <w:t>12</w:t>
      </w:r>
      <w:r w:rsidRPr="00C860F5">
        <w:rPr>
          <w:sz w:val="24"/>
          <w:szCs w:val="24"/>
          <w:lang w:val="zh-CN" w:eastAsia="zh-CN"/>
        </w:rPr>
        <w:t>条和第</w:t>
      </w:r>
      <w:r w:rsidRPr="00C860F5">
        <w:rPr>
          <w:sz w:val="24"/>
          <w:szCs w:val="24"/>
          <w:lang w:val="zh-CN" w:eastAsia="zh-CN"/>
        </w:rPr>
        <w:t>14</w:t>
      </w:r>
      <w:r w:rsidRPr="00C860F5">
        <w:rPr>
          <w:sz w:val="24"/>
          <w:szCs w:val="24"/>
          <w:lang w:val="zh-CN" w:eastAsia="zh-CN"/>
        </w:rPr>
        <w:t>条等途径，继续执行</w:t>
      </w:r>
      <w:r w:rsidRPr="00C860F5">
        <w:rPr>
          <w:sz w:val="24"/>
          <w:szCs w:val="24"/>
          <w:lang w:val="zh-CN" w:eastAsia="zh-CN"/>
        </w:rPr>
        <w:t>RC-7/2</w:t>
      </w:r>
      <w:r w:rsidRPr="00C860F5">
        <w:rPr>
          <w:sz w:val="24"/>
          <w:szCs w:val="24"/>
          <w:lang w:val="zh-CN" w:eastAsia="zh-CN"/>
        </w:rPr>
        <w:t>号决定的规定。</w:t>
      </w: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33786D" w:rsidRPr="00C860F5" w:rsidRDefault="0033786D" w:rsidP="0033786D">
      <w:pPr>
        <w:pStyle w:val="Normalnumber"/>
        <w:numPr>
          <w:ilvl w:val="0"/>
          <w:numId w:val="0"/>
        </w:numPr>
        <w:tabs>
          <w:tab w:val="left" w:pos="2340"/>
        </w:tabs>
        <w:ind w:left="2283" w:hanging="1080"/>
        <w:jc w:val="both"/>
        <w:rPr>
          <w:sz w:val="24"/>
          <w:szCs w:val="24"/>
          <w:lang w:eastAsia="zh-CN"/>
        </w:rPr>
      </w:pPr>
    </w:p>
    <w:p w:rsidR="00F935A6" w:rsidRPr="0033786D" w:rsidRDefault="00F935A6">
      <w:pPr>
        <w:rPr>
          <w:lang w:val="en-GB"/>
        </w:rPr>
      </w:pPr>
      <w:bookmarkStart w:id="0" w:name="_GoBack"/>
      <w:bookmarkEnd w:id="0"/>
    </w:p>
    <w:sectPr w:rsidR="00F935A6" w:rsidRPr="00337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0"/>
    <w:lvlOverride w:ilvl="1">
      <w:lvl w:ilvl="1">
        <w:start w:val="1"/>
        <w:numFmt w:val="lowerLetter"/>
        <w:lvlText w:val="(%2)"/>
        <w:lvlJc w:val="left"/>
        <w:pPr>
          <w:tabs>
            <w:tab w:val="num" w:pos="567"/>
          </w:tabs>
          <w:ind w:left="1247" w:firstLine="567"/>
        </w:pPr>
        <w:rPr>
          <w:rFonts w:hint="default"/>
        </w:rPr>
      </w:lvl>
    </w:lvlOverride>
  </w:num>
  <w:num w:numId="4">
    <w:abstractNumId w:val="2"/>
    <w:lvlOverride w:ilvl="0">
      <w:lvl w:ilvl="0" w:tplc="9566D8DE">
        <w:start w:val="1"/>
        <w:numFmt w:val="decimal"/>
        <w:lvlText w:val="%1."/>
        <w:lvlJc w:val="left"/>
        <w:pPr>
          <w:tabs>
            <w:tab w:val="num" w:pos="3215"/>
          </w:tabs>
          <w:ind w:left="3215" w:hanging="360"/>
        </w:pPr>
        <w:rPr>
          <w:i w:val="0"/>
        </w:rPr>
      </w:lvl>
    </w:lvlOverride>
  </w:num>
  <w:num w:numId="5">
    <w:abstractNumId w:val="1"/>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33786D"/>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2019-11-27T20:44:00Z</dcterms:created>
  <dcterms:modified xsi:type="dcterms:W3CDTF">2019-11-27T20:45:00Z</dcterms:modified>
</cp:coreProperties>
</file>