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0BE3" w:rsidRPr="00B70B6B" w:rsidRDefault="00830BE3" w:rsidP="00830BE3">
      <w:pPr>
        <w:tabs>
          <w:tab w:val="left" w:pos="2409"/>
          <w:tab w:val="left" w:pos="2976"/>
          <w:tab w:val="left" w:pos="3543"/>
        </w:tabs>
        <w:ind w:left="1133"/>
        <w:rPr>
          <w:rFonts w:cs="Traditional Arabic"/>
          <w:b/>
          <w:bCs/>
          <w:sz w:val="22"/>
          <w:szCs w:val="32"/>
          <w:rtl/>
          <w:lang w:eastAsia="zh-TW"/>
        </w:rPr>
      </w:pPr>
      <w:r>
        <w:rPr>
          <w:rFonts w:cs="Traditional Arabic" w:hint="cs"/>
          <w:b/>
          <w:bCs/>
          <w:sz w:val="22"/>
          <w:szCs w:val="32"/>
          <w:rtl/>
          <w:lang w:eastAsia="zh-TW"/>
        </w:rPr>
        <w:t>ا ر-9/2: تشغيل لجنة استعراض المواد الكيميائية</w:t>
      </w:r>
    </w:p>
    <w:p w:rsidR="00830BE3" w:rsidRPr="0037162E" w:rsidRDefault="00830BE3" w:rsidP="00830BE3">
      <w:pPr>
        <w:widowControl w:val="0"/>
        <w:tabs>
          <w:tab w:val="left" w:pos="2409"/>
          <w:tab w:val="left" w:pos="2976"/>
          <w:tab w:val="left" w:pos="3543"/>
        </w:tabs>
        <w:spacing w:after="120" w:line="400" w:lineRule="exact"/>
        <w:ind w:left="1133" w:firstLine="709"/>
        <w:jc w:val="both"/>
        <w:textDirection w:val="tbRlV"/>
        <w:rPr>
          <w:rFonts w:cs="Traditional Arabic"/>
          <w:i/>
          <w:sz w:val="22"/>
          <w:szCs w:val="30"/>
          <w:rtl/>
          <w:lang w:eastAsia="zh-TW"/>
        </w:rPr>
      </w:pPr>
      <w:r w:rsidRPr="0037162E">
        <w:rPr>
          <w:rFonts w:cs="Traditional Arabic"/>
          <w:i/>
          <w:iCs/>
          <w:sz w:val="22"/>
          <w:szCs w:val="30"/>
          <w:rtl/>
          <w:lang w:eastAsia="zh-TW"/>
        </w:rPr>
        <w:t>إن مؤتمر الأطراف،</w:t>
      </w:r>
    </w:p>
    <w:p w:rsidR="00830BE3" w:rsidRPr="0037162E" w:rsidRDefault="00830BE3" w:rsidP="00830BE3">
      <w:pPr>
        <w:widowControl w:val="0"/>
        <w:numPr>
          <w:ilvl w:val="0"/>
          <w:numId w:val="3"/>
        </w:numPr>
        <w:tabs>
          <w:tab w:val="left" w:pos="2409"/>
          <w:tab w:val="left" w:pos="2976"/>
          <w:tab w:val="left" w:pos="3543"/>
        </w:tabs>
        <w:spacing w:after="120" w:line="400" w:lineRule="exact"/>
        <w:ind w:left="1133" w:firstLine="709"/>
        <w:jc w:val="both"/>
        <w:textDirection w:val="tbRlV"/>
        <w:rPr>
          <w:rFonts w:ascii="Traditional Arabic" w:hAnsi="Traditional Arabic" w:cs="Traditional Arabic"/>
          <w:sz w:val="30"/>
          <w:szCs w:val="30"/>
          <w:rtl/>
          <w:lang w:eastAsia="zh-TW"/>
        </w:rPr>
      </w:pPr>
      <w:r w:rsidRPr="0037162E">
        <w:rPr>
          <w:rFonts w:ascii="Traditional Arabic" w:hAnsi="Traditional Arabic" w:cs="Traditional Arabic"/>
          <w:i/>
          <w:iCs/>
          <w:sz w:val="30"/>
          <w:szCs w:val="30"/>
          <w:rtl/>
          <w:lang w:eastAsia="zh-TW"/>
        </w:rPr>
        <w:t>يحيط علماً</w:t>
      </w:r>
      <w:r w:rsidRPr="0037162E">
        <w:rPr>
          <w:rFonts w:ascii="Traditional Arabic" w:hAnsi="Traditional Arabic" w:cs="Traditional Arabic"/>
          <w:sz w:val="30"/>
          <w:szCs w:val="30"/>
          <w:rtl/>
          <w:lang w:eastAsia="zh-TW"/>
        </w:rPr>
        <w:t xml:space="preserve"> بالمعلومات المقدمة في تقريري لجنة استعراض المواد الكيميائية عن أعمال اجتماعيها الثالث عشر والرابع عشر</w:t>
      </w:r>
      <w:r w:rsidRPr="0037162E">
        <w:rPr>
          <w:rFonts w:ascii="Traditional Arabic" w:hAnsi="Traditional Arabic" w:cs="Traditional Arabic"/>
          <w:sz w:val="30"/>
          <w:szCs w:val="30"/>
          <w:vertAlign w:val="superscript"/>
          <w:rtl/>
          <w:lang w:eastAsia="zh-TW"/>
        </w:rPr>
        <w:t>(</w:t>
      </w:r>
      <w:r w:rsidRPr="0037162E">
        <w:rPr>
          <w:rFonts w:ascii="Traditional Arabic" w:hAnsi="Traditional Arabic" w:cs="Traditional Arabic"/>
          <w:sz w:val="30"/>
          <w:szCs w:val="30"/>
          <w:vertAlign w:val="superscript"/>
          <w:rtl/>
          <w:lang w:eastAsia="zh-TW"/>
        </w:rPr>
        <w:footnoteReference w:id="1"/>
      </w:r>
      <w:r w:rsidRPr="0037162E">
        <w:rPr>
          <w:rFonts w:ascii="Traditional Arabic" w:hAnsi="Traditional Arabic" w:cs="Traditional Arabic"/>
          <w:sz w:val="30"/>
          <w:szCs w:val="30"/>
          <w:vertAlign w:val="superscript"/>
          <w:rtl/>
          <w:lang w:eastAsia="zh-TW"/>
        </w:rPr>
        <w:t>)</w:t>
      </w:r>
      <w:r w:rsidRPr="0037162E">
        <w:rPr>
          <w:rFonts w:ascii="Traditional Arabic" w:hAnsi="Traditional Arabic" w:cs="Traditional Arabic"/>
          <w:sz w:val="30"/>
          <w:szCs w:val="30"/>
          <w:rtl/>
          <w:lang w:eastAsia="zh-TW"/>
        </w:rPr>
        <w:t>؛</w:t>
      </w:r>
    </w:p>
    <w:p w:rsidR="00830BE3" w:rsidRPr="0037162E" w:rsidRDefault="00830BE3" w:rsidP="00830BE3">
      <w:pPr>
        <w:widowControl w:val="0"/>
        <w:numPr>
          <w:ilvl w:val="0"/>
          <w:numId w:val="3"/>
        </w:numPr>
        <w:tabs>
          <w:tab w:val="left" w:pos="2409"/>
          <w:tab w:val="left" w:pos="2976"/>
          <w:tab w:val="left" w:pos="3543"/>
        </w:tabs>
        <w:spacing w:after="120" w:line="400" w:lineRule="exact"/>
        <w:ind w:left="1133" w:firstLine="709"/>
        <w:jc w:val="both"/>
        <w:textDirection w:val="tbRlV"/>
        <w:rPr>
          <w:rFonts w:ascii="Traditional Arabic" w:hAnsi="Traditional Arabic" w:cs="Traditional Arabic"/>
          <w:color w:val="000000"/>
          <w:sz w:val="30"/>
          <w:szCs w:val="30"/>
          <w:rtl/>
          <w:lang w:eastAsia="zh-TW"/>
        </w:rPr>
      </w:pPr>
      <w:r w:rsidRPr="0037162E">
        <w:rPr>
          <w:rFonts w:ascii="Traditional Arabic" w:hAnsi="Traditional Arabic" w:cs="Traditional Arabic"/>
          <w:i/>
          <w:iCs/>
          <w:sz w:val="30"/>
          <w:szCs w:val="30"/>
          <w:rtl/>
          <w:lang w:eastAsia="zh-TW"/>
        </w:rPr>
        <w:t>يشير</w:t>
      </w:r>
      <w:r w:rsidRPr="0037162E">
        <w:rPr>
          <w:rFonts w:ascii="Traditional Arabic" w:hAnsi="Traditional Arabic" w:cs="Traditional Arabic"/>
          <w:sz w:val="30"/>
          <w:szCs w:val="30"/>
          <w:rtl/>
          <w:lang w:eastAsia="zh-TW"/>
        </w:rPr>
        <w:t xml:space="preserve"> إلى ضرورة أن تأخذ الأطراف في اعتبارها، عند ترشيح الخبراء، المسؤوليات </w:t>
      </w:r>
      <w:r>
        <w:rPr>
          <w:rFonts w:ascii="Traditional Arabic" w:hAnsi="Traditional Arabic" w:cs="Traditional Arabic" w:hint="cs"/>
          <w:sz w:val="30"/>
          <w:szCs w:val="30"/>
          <w:rtl/>
          <w:lang w:eastAsia="zh-TW"/>
        </w:rPr>
        <w:t>و</w:t>
      </w:r>
      <w:r w:rsidRPr="0037162E">
        <w:rPr>
          <w:rFonts w:ascii="Traditional Arabic" w:hAnsi="Traditional Arabic" w:cs="Traditional Arabic"/>
          <w:sz w:val="30"/>
          <w:szCs w:val="30"/>
          <w:rtl/>
          <w:lang w:eastAsia="zh-TW"/>
        </w:rPr>
        <w:t>المؤهلات، وفقاً لاختصاصات لجنة استعراض المواد الكيميائية، و</w:t>
      </w:r>
      <w:r>
        <w:rPr>
          <w:rFonts w:ascii="Traditional Arabic" w:hAnsi="Traditional Arabic" w:cs="Traditional Arabic" w:hint="cs"/>
          <w:sz w:val="30"/>
          <w:szCs w:val="30"/>
          <w:rtl/>
          <w:lang w:eastAsia="zh-TW"/>
        </w:rPr>
        <w:t>ال</w:t>
      </w:r>
      <w:r w:rsidRPr="0037162E">
        <w:rPr>
          <w:rFonts w:ascii="Traditional Arabic" w:hAnsi="Traditional Arabic" w:cs="Traditional Arabic"/>
          <w:sz w:val="30"/>
          <w:szCs w:val="30"/>
          <w:rtl/>
          <w:lang w:eastAsia="zh-TW"/>
        </w:rPr>
        <w:t>التزام</w:t>
      </w:r>
      <w:r>
        <w:rPr>
          <w:rFonts w:ascii="Traditional Arabic" w:hAnsi="Traditional Arabic" w:cs="Traditional Arabic" w:hint="cs"/>
          <w:sz w:val="30"/>
          <w:szCs w:val="30"/>
          <w:rtl/>
          <w:lang w:eastAsia="zh-TW"/>
        </w:rPr>
        <w:t xml:space="preserve"> المطلوب من</w:t>
      </w:r>
      <w:r w:rsidRPr="0037162E">
        <w:rPr>
          <w:rFonts w:ascii="Traditional Arabic" w:hAnsi="Traditional Arabic" w:cs="Traditional Arabic"/>
          <w:sz w:val="30"/>
          <w:szCs w:val="30"/>
          <w:rtl/>
          <w:lang w:eastAsia="zh-TW"/>
        </w:rPr>
        <w:t xml:space="preserve"> أعضاء اللجنة؛</w:t>
      </w:r>
    </w:p>
    <w:p w:rsidR="00830BE3" w:rsidRPr="0037162E" w:rsidRDefault="00830BE3" w:rsidP="00830BE3">
      <w:pPr>
        <w:numPr>
          <w:ilvl w:val="0"/>
          <w:numId w:val="3"/>
        </w:numPr>
        <w:tabs>
          <w:tab w:val="left" w:pos="2409"/>
          <w:tab w:val="left" w:pos="2976"/>
          <w:tab w:val="left" w:pos="3543"/>
        </w:tabs>
        <w:spacing w:after="120" w:line="400" w:lineRule="exact"/>
        <w:ind w:left="1133" w:firstLine="709"/>
        <w:jc w:val="both"/>
        <w:textDirection w:val="tbRlV"/>
        <w:rPr>
          <w:rFonts w:ascii="Traditional Arabic" w:hAnsi="Traditional Arabic" w:cs="Traditional Arabic"/>
          <w:sz w:val="30"/>
          <w:szCs w:val="30"/>
          <w:rtl/>
          <w:lang w:eastAsia="zh-TW"/>
        </w:rPr>
      </w:pPr>
      <w:r w:rsidRPr="0037162E">
        <w:rPr>
          <w:rFonts w:ascii="Traditional Arabic" w:hAnsi="Traditional Arabic" w:cs="Traditional Arabic"/>
          <w:i/>
          <w:iCs/>
          <w:sz w:val="30"/>
          <w:szCs w:val="30"/>
          <w:rtl/>
          <w:lang w:eastAsia="zh-TW"/>
        </w:rPr>
        <w:t>يؤكد</w:t>
      </w:r>
      <w:r w:rsidRPr="0037162E">
        <w:rPr>
          <w:rFonts w:ascii="Traditional Arabic" w:hAnsi="Traditional Arabic" w:cs="Traditional Arabic"/>
          <w:sz w:val="30"/>
          <w:szCs w:val="30"/>
          <w:rtl/>
          <w:lang w:eastAsia="zh-TW"/>
        </w:rPr>
        <w:t xml:space="preserve"> تعيين السيد دينيش رونيوال (الهند) ليحل محل السيد مانوج كومار غانجيا، والسيد</w:t>
      </w:r>
      <w:r>
        <w:rPr>
          <w:rFonts w:ascii="Traditional Arabic" w:hAnsi="Traditional Arabic" w:cs="Traditional Arabic" w:hint="cs"/>
          <w:sz w:val="30"/>
          <w:szCs w:val="30"/>
          <w:rtl/>
          <w:lang w:eastAsia="zh-TW"/>
        </w:rPr>
        <w:t> </w:t>
      </w:r>
      <w:r w:rsidRPr="0037162E">
        <w:rPr>
          <w:rFonts w:ascii="Traditional Arabic" w:hAnsi="Traditional Arabic" w:cs="Traditional Arabic"/>
          <w:sz w:val="30"/>
          <w:szCs w:val="30"/>
          <w:rtl/>
          <w:lang w:eastAsia="zh-TW"/>
        </w:rPr>
        <w:t>سيمون هوي (المملكة المتحدة لبريطانيا العظمى وأيرلندا الشمالية) ليحل محل السيدة جوهانا بيلتولا-تايس، كعضوين في اللجنة للعمل الفترة المتبقية من عضوية السيد غانجيا والسيدة بيلتولا-تايس، حتى ٣٠ نيسان/أبريل ٢٠٢٠؛</w:t>
      </w:r>
    </w:p>
    <w:p w:rsidR="00830BE3" w:rsidRPr="0037162E" w:rsidRDefault="00830BE3" w:rsidP="00830BE3">
      <w:pPr>
        <w:numPr>
          <w:ilvl w:val="0"/>
          <w:numId w:val="3"/>
        </w:numPr>
        <w:tabs>
          <w:tab w:val="left" w:pos="2409"/>
          <w:tab w:val="left" w:pos="2976"/>
          <w:tab w:val="left" w:pos="3543"/>
        </w:tabs>
        <w:spacing w:after="120" w:line="400" w:lineRule="exact"/>
        <w:ind w:left="1133" w:firstLine="709"/>
        <w:jc w:val="both"/>
        <w:textDirection w:val="tbRlV"/>
        <w:rPr>
          <w:rFonts w:ascii="Traditional Arabic" w:hAnsi="Traditional Arabic" w:cs="Traditional Arabic"/>
          <w:sz w:val="30"/>
          <w:szCs w:val="30"/>
          <w:rtl/>
          <w:lang w:eastAsia="zh-TW"/>
        </w:rPr>
      </w:pPr>
      <w:r w:rsidRPr="0037162E">
        <w:rPr>
          <w:rFonts w:ascii="Traditional Arabic" w:hAnsi="Traditional Arabic" w:cs="Traditional Arabic"/>
          <w:i/>
          <w:iCs/>
          <w:sz w:val="30"/>
          <w:szCs w:val="30"/>
          <w:rtl/>
          <w:lang w:eastAsia="zh-TW"/>
        </w:rPr>
        <w:t>يؤكد أيضاً</w:t>
      </w:r>
      <w:r w:rsidRPr="0037162E">
        <w:rPr>
          <w:rFonts w:ascii="Traditional Arabic" w:hAnsi="Traditional Arabic" w:cs="Traditional Arabic"/>
          <w:sz w:val="30"/>
          <w:szCs w:val="30"/>
          <w:rtl/>
          <w:lang w:eastAsia="zh-TW"/>
        </w:rPr>
        <w:t xml:space="preserve"> تعيين السيد مارتن لاكروا (كندا) ليحل محل السيد جيفري غودمان، والسيدة غلوريا جوديث فينيغاس كالديرون (إكوادور) لتحل محل السيدة كريستينا سالغادو، والسيدة كريستين كازيروفسكا (لاتفيا) لتحل محل السيدة ليغا روبين، والسيد محمد شكيل مالك (باكستان) ليحل محل السيدة افتخار الحَسَن شاه جيلاني، والسيدة آنييشكا يانكوفسكا (بولندا) لتحل محل السيدة دوروتا فياديرنا، كأعضاء في اللجنة للعمل </w:t>
      </w:r>
      <w:r>
        <w:rPr>
          <w:rFonts w:ascii="Traditional Arabic" w:hAnsi="Traditional Arabic" w:cs="Traditional Arabic" w:hint="cs"/>
          <w:sz w:val="30"/>
          <w:szCs w:val="30"/>
          <w:rtl/>
          <w:lang w:eastAsia="zh-TW"/>
        </w:rPr>
        <w:t xml:space="preserve">خلال </w:t>
      </w:r>
      <w:r w:rsidRPr="0037162E">
        <w:rPr>
          <w:rFonts w:ascii="Traditional Arabic" w:hAnsi="Traditional Arabic" w:cs="Traditional Arabic"/>
          <w:sz w:val="30"/>
          <w:szCs w:val="30"/>
          <w:rtl/>
          <w:lang w:eastAsia="zh-TW"/>
        </w:rPr>
        <w:t xml:space="preserve">الفترة المتبقية من عضوية </w:t>
      </w:r>
      <w:r>
        <w:rPr>
          <w:rFonts w:ascii="Traditional Arabic" w:hAnsi="Traditional Arabic" w:cs="Traditional Arabic" w:hint="cs"/>
          <w:sz w:val="30"/>
          <w:szCs w:val="30"/>
          <w:rtl/>
          <w:lang w:eastAsia="zh-TW"/>
        </w:rPr>
        <w:t>السيد غودمان و</w:t>
      </w:r>
      <w:r w:rsidRPr="0037162E">
        <w:rPr>
          <w:rFonts w:ascii="Traditional Arabic" w:hAnsi="Traditional Arabic" w:cs="Traditional Arabic"/>
          <w:sz w:val="30"/>
          <w:szCs w:val="30"/>
          <w:rtl/>
          <w:lang w:eastAsia="zh-TW"/>
        </w:rPr>
        <w:t>السيدة سالغادو والسيدة روبين والسيد جيلاني والسيدة فياديرنا، حتى 30 نيسان/أبريل ٢٠٢٢؛</w:t>
      </w:r>
    </w:p>
    <w:p w:rsidR="00830BE3" w:rsidRPr="0037162E" w:rsidRDefault="00830BE3" w:rsidP="00830BE3">
      <w:pPr>
        <w:keepNext/>
        <w:keepLines/>
        <w:widowControl w:val="0"/>
        <w:numPr>
          <w:ilvl w:val="0"/>
          <w:numId w:val="3"/>
        </w:numPr>
        <w:tabs>
          <w:tab w:val="left" w:pos="2409"/>
          <w:tab w:val="left" w:pos="2976"/>
          <w:tab w:val="left" w:pos="3543"/>
        </w:tabs>
        <w:spacing w:after="120" w:line="400" w:lineRule="exact"/>
        <w:ind w:left="1133" w:firstLine="709"/>
        <w:jc w:val="both"/>
        <w:textDirection w:val="tbRlV"/>
        <w:rPr>
          <w:rFonts w:ascii="Traditional Arabic" w:hAnsi="Traditional Arabic" w:cs="Traditional Arabic"/>
          <w:sz w:val="30"/>
          <w:szCs w:val="30"/>
          <w:rtl/>
          <w:lang w:eastAsia="zh-TW"/>
        </w:rPr>
      </w:pPr>
      <w:r w:rsidRPr="0037162E">
        <w:rPr>
          <w:rFonts w:ascii="Traditional Arabic" w:hAnsi="Traditional Arabic" w:cs="Traditional Arabic"/>
          <w:i/>
          <w:iCs/>
          <w:sz w:val="30"/>
          <w:szCs w:val="30"/>
          <w:rtl/>
          <w:lang w:eastAsia="zh-TW"/>
        </w:rPr>
        <w:t>يعين</w:t>
      </w:r>
      <w:r w:rsidRPr="0037162E">
        <w:rPr>
          <w:rFonts w:ascii="Traditional Arabic" w:hAnsi="Traditional Arabic" w:cs="Traditional Arabic"/>
          <w:sz w:val="30"/>
          <w:szCs w:val="30"/>
          <w:rtl/>
          <w:lang w:eastAsia="zh-TW"/>
        </w:rPr>
        <w:t xml:space="preserve"> الخبراء المعينين البالغ عددهم 14 خبيراً والواردة أسماؤهم في مرفق هذا المقرر للعمل كأعضاء في اللجنة لفترة عضوية تمتد من 1 أيار/مايو 2020 إلى 30 نيسان/أبريل 2024</w:t>
      </w:r>
      <w:r w:rsidRPr="0037162E">
        <w:rPr>
          <w:rFonts w:ascii="Traditional Arabic" w:hAnsi="Traditional Arabic" w:cs="Traditional Arabic"/>
          <w:sz w:val="30"/>
          <w:szCs w:val="30"/>
          <w:vertAlign w:val="superscript"/>
          <w:rtl/>
          <w:lang w:eastAsia="zh-TW"/>
        </w:rPr>
        <w:t>(</w:t>
      </w:r>
      <w:r w:rsidRPr="0037162E">
        <w:rPr>
          <w:rFonts w:ascii="Traditional Arabic" w:hAnsi="Traditional Arabic" w:cs="Traditional Arabic"/>
          <w:sz w:val="30"/>
          <w:szCs w:val="30"/>
          <w:vertAlign w:val="superscript"/>
          <w:rtl/>
          <w:lang w:eastAsia="zh-TW"/>
        </w:rPr>
        <w:footnoteReference w:id="2"/>
      </w:r>
      <w:r w:rsidRPr="0037162E">
        <w:rPr>
          <w:rFonts w:ascii="Traditional Arabic" w:hAnsi="Traditional Arabic" w:cs="Traditional Arabic"/>
          <w:sz w:val="30"/>
          <w:szCs w:val="30"/>
          <w:vertAlign w:val="superscript"/>
          <w:rtl/>
          <w:lang w:eastAsia="zh-TW"/>
        </w:rPr>
        <w:t>)</w:t>
      </w:r>
      <w:r w:rsidRPr="0037162E">
        <w:rPr>
          <w:rFonts w:ascii="Traditional Arabic" w:hAnsi="Traditional Arabic" w:cs="Traditional Arabic"/>
          <w:sz w:val="30"/>
          <w:szCs w:val="30"/>
          <w:rtl/>
          <w:lang w:eastAsia="zh-TW"/>
        </w:rPr>
        <w:t>؛</w:t>
      </w:r>
    </w:p>
    <w:p w:rsidR="00830BE3" w:rsidRPr="0037162E" w:rsidRDefault="00830BE3" w:rsidP="00830BE3">
      <w:pPr>
        <w:keepNext/>
        <w:keepLines/>
        <w:widowControl w:val="0"/>
        <w:numPr>
          <w:ilvl w:val="0"/>
          <w:numId w:val="3"/>
        </w:numPr>
        <w:tabs>
          <w:tab w:val="left" w:pos="2409"/>
          <w:tab w:val="left" w:pos="2976"/>
          <w:tab w:val="left" w:pos="3543"/>
        </w:tabs>
        <w:spacing w:after="120" w:line="400" w:lineRule="exact"/>
        <w:ind w:left="1133" w:firstLine="709"/>
        <w:jc w:val="both"/>
        <w:textDirection w:val="tbRlV"/>
        <w:rPr>
          <w:rFonts w:ascii="Traditional Arabic" w:hAnsi="Traditional Arabic" w:cs="Traditional Arabic"/>
          <w:sz w:val="30"/>
          <w:szCs w:val="30"/>
          <w:rtl/>
          <w:lang w:eastAsia="zh-TW"/>
        </w:rPr>
      </w:pPr>
      <w:r w:rsidRPr="0037162E">
        <w:rPr>
          <w:rFonts w:ascii="Traditional Arabic" w:hAnsi="Traditional Arabic" w:cs="Traditional Arabic"/>
          <w:i/>
          <w:iCs/>
          <w:sz w:val="30"/>
          <w:szCs w:val="30"/>
          <w:rtl/>
          <w:lang w:eastAsia="zh-TW"/>
        </w:rPr>
        <w:t>ينتخب</w:t>
      </w:r>
      <w:r w:rsidRPr="0037162E">
        <w:rPr>
          <w:rFonts w:ascii="Traditional Arabic" w:hAnsi="Traditional Arabic" w:cs="Traditional Arabic"/>
          <w:sz w:val="30"/>
          <w:szCs w:val="30"/>
          <w:rtl/>
          <w:lang w:eastAsia="zh-TW"/>
        </w:rPr>
        <w:t xml:space="preserve"> السيدة نولوزوكو غوايي (جنوب أفريقيا) رئيسة للجنة؛</w:t>
      </w:r>
    </w:p>
    <w:p w:rsidR="00830BE3" w:rsidRPr="0037162E" w:rsidRDefault="00830BE3" w:rsidP="00830BE3">
      <w:pPr>
        <w:widowControl w:val="0"/>
        <w:numPr>
          <w:ilvl w:val="0"/>
          <w:numId w:val="3"/>
        </w:numPr>
        <w:tabs>
          <w:tab w:val="left" w:pos="2409"/>
          <w:tab w:val="left" w:pos="2976"/>
          <w:tab w:val="left" w:pos="3543"/>
        </w:tabs>
        <w:spacing w:after="120" w:line="380" w:lineRule="exact"/>
        <w:ind w:left="1134" w:firstLine="709"/>
        <w:jc w:val="both"/>
        <w:textDirection w:val="tbRlV"/>
        <w:rPr>
          <w:rFonts w:ascii="Traditional Arabic" w:hAnsi="Traditional Arabic" w:cs="Traditional Arabic"/>
          <w:sz w:val="30"/>
          <w:szCs w:val="30"/>
          <w:lang w:eastAsia="zh-TW"/>
        </w:rPr>
      </w:pPr>
      <w:r w:rsidRPr="0037162E">
        <w:rPr>
          <w:rFonts w:ascii="Traditional Arabic" w:hAnsi="Traditional Arabic" w:cs="Traditional Arabic"/>
          <w:i/>
          <w:iCs/>
          <w:sz w:val="30"/>
          <w:szCs w:val="30"/>
          <w:rtl/>
          <w:lang w:eastAsia="zh-TW"/>
        </w:rPr>
        <w:t xml:space="preserve">يرحب </w:t>
      </w:r>
      <w:r w:rsidRPr="0037162E">
        <w:rPr>
          <w:rFonts w:ascii="Traditional Arabic" w:hAnsi="Traditional Arabic" w:cs="Traditional Arabic"/>
          <w:sz w:val="30"/>
          <w:szCs w:val="30"/>
          <w:rtl/>
          <w:lang w:eastAsia="zh-TW"/>
        </w:rPr>
        <w:t xml:space="preserve">بتنظيم </w:t>
      </w:r>
      <w:r>
        <w:rPr>
          <w:rFonts w:ascii="Traditional Arabic" w:hAnsi="Traditional Arabic" w:cs="Traditional Arabic" w:hint="cs"/>
          <w:sz w:val="30"/>
          <w:szCs w:val="30"/>
          <w:rtl/>
          <w:lang w:eastAsia="zh-TW"/>
        </w:rPr>
        <w:t>الأمانة ل</w:t>
      </w:r>
      <w:r w:rsidRPr="0037162E">
        <w:rPr>
          <w:rFonts w:ascii="Traditional Arabic" w:hAnsi="Traditional Arabic" w:cs="Traditional Arabic"/>
          <w:sz w:val="30"/>
          <w:szCs w:val="30"/>
          <w:rtl/>
          <w:lang w:eastAsia="zh-TW"/>
        </w:rPr>
        <w:t xml:space="preserve">حلقة العمل التوجيهية للأعضاء الجدد ويطلب إلى الأمانة أن تضع وتنفذ أنشطة تدريبية في إطار خطة المساعدة التقنية، رهناً بتوفر الموارد، وذلك للأعضاء الجدد والحاليين، آخذة في الاعتبار عدداً مختلفاً من تقنيات تقديم الأنشطة وقنوات إيصال المعلومات المتعلقة بها، </w:t>
      </w:r>
      <w:r>
        <w:rPr>
          <w:rFonts w:ascii="Traditional Arabic" w:hAnsi="Traditional Arabic" w:cs="Traditional Arabic" w:hint="cs"/>
          <w:sz w:val="30"/>
          <w:szCs w:val="30"/>
          <w:rtl/>
          <w:lang w:eastAsia="zh-TW"/>
        </w:rPr>
        <w:t>و</w:t>
      </w:r>
      <w:r w:rsidRPr="0037162E">
        <w:rPr>
          <w:rFonts w:ascii="Traditional Arabic" w:hAnsi="Traditional Arabic" w:cs="Traditional Arabic"/>
          <w:sz w:val="30"/>
          <w:szCs w:val="30"/>
          <w:rtl/>
          <w:lang w:eastAsia="zh-TW"/>
        </w:rPr>
        <w:t>تشمل جملة أمور منها حلقات العمل وأدوات التعلم الإلكتروني، وأن تقدم تقريراً عن نتائجها إلى مؤتمر الأطراف في اجتماعه العاشر؛</w:t>
      </w:r>
    </w:p>
    <w:p w:rsidR="00830BE3" w:rsidRPr="0037162E" w:rsidRDefault="00830BE3" w:rsidP="00830BE3">
      <w:pPr>
        <w:widowControl w:val="0"/>
        <w:numPr>
          <w:ilvl w:val="0"/>
          <w:numId w:val="3"/>
        </w:numPr>
        <w:tabs>
          <w:tab w:val="left" w:pos="2409"/>
          <w:tab w:val="left" w:pos="2976"/>
          <w:tab w:val="left" w:pos="3543"/>
        </w:tabs>
        <w:spacing w:after="120" w:line="380" w:lineRule="exact"/>
        <w:ind w:left="1134" w:firstLine="709"/>
        <w:jc w:val="both"/>
        <w:textDirection w:val="tbRlV"/>
        <w:rPr>
          <w:rFonts w:ascii="Traditional Arabic" w:hAnsi="Traditional Arabic" w:cs="Traditional Arabic"/>
          <w:sz w:val="30"/>
          <w:szCs w:val="30"/>
          <w:lang w:eastAsia="zh-TW"/>
        </w:rPr>
      </w:pPr>
      <w:r w:rsidRPr="0037162E">
        <w:rPr>
          <w:rFonts w:ascii="Traditional Arabic" w:hAnsi="Traditional Arabic" w:cs="Traditional Arabic"/>
          <w:i/>
          <w:iCs/>
          <w:sz w:val="30"/>
          <w:szCs w:val="30"/>
          <w:rtl/>
          <w:lang w:eastAsia="zh-TW"/>
        </w:rPr>
        <w:t>يرحب</w:t>
      </w:r>
      <w:r w:rsidRPr="0037162E">
        <w:rPr>
          <w:rFonts w:ascii="Traditional Arabic" w:hAnsi="Traditional Arabic" w:cs="Traditional Arabic"/>
          <w:sz w:val="30"/>
          <w:szCs w:val="30"/>
          <w:rtl/>
          <w:lang w:eastAsia="zh-TW"/>
        </w:rPr>
        <w:t xml:space="preserve"> </w:t>
      </w:r>
      <w:r w:rsidRPr="002200AD">
        <w:rPr>
          <w:rFonts w:ascii="Traditional Arabic" w:hAnsi="Traditional Arabic" w:cs="Traditional Arabic" w:hint="cs"/>
          <w:i/>
          <w:iCs/>
          <w:sz w:val="30"/>
          <w:szCs w:val="30"/>
          <w:rtl/>
          <w:lang w:eastAsia="zh-TW"/>
        </w:rPr>
        <w:t>كذلك</w:t>
      </w:r>
      <w:r>
        <w:rPr>
          <w:rFonts w:ascii="Traditional Arabic" w:hAnsi="Traditional Arabic" w:cs="Traditional Arabic" w:hint="cs"/>
          <w:sz w:val="30"/>
          <w:szCs w:val="30"/>
          <w:rtl/>
          <w:lang w:eastAsia="zh-TW"/>
        </w:rPr>
        <w:t xml:space="preserve"> </w:t>
      </w:r>
      <w:r w:rsidRPr="0037162E">
        <w:rPr>
          <w:rFonts w:ascii="Traditional Arabic" w:hAnsi="Traditional Arabic" w:cs="Traditional Arabic"/>
          <w:sz w:val="30"/>
          <w:szCs w:val="30"/>
          <w:rtl/>
          <w:lang w:eastAsia="zh-TW"/>
        </w:rPr>
        <w:t xml:space="preserve">بتوصيات الأمانة الواردة في الوثيقة </w:t>
      </w:r>
      <w:r w:rsidRPr="0037162E">
        <w:rPr>
          <w:rFonts w:asciiTheme="majorBidi" w:hAnsiTheme="majorBidi" w:cstheme="majorBidi"/>
          <w:lang w:eastAsia="zh-TW"/>
        </w:rPr>
        <w:t>UNEP/FAO/RC/COP.9/INF/18</w:t>
      </w:r>
      <w:r w:rsidRPr="0037162E">
        <w:rPr>
          <w:rFonts w:ascii="Traditional Arabic" w:hAnsi="Traditional Arabic" w:cs="Traditional Arabic"/>
          <w:sz w:val="30"/>
          <w:szCs w:val="30"/>
          <w:rtl/>
          <w:lang w:eastAsia="zh-TW"/>
        </w:rPr>
        <w:t xml:space="preserve"> من أجل تحسين المشاركة والانفتاح والشفافية في عملية لجنة استعراض المواد الكيميائية؛</w:t>
      </w:r>
    </w:p>
    <w:p w:rsidR="00830BE3" w:rsidRPr="0037162E" w:rsidRDefault="00830BE3" w:rsidP="00830BE3">
      <w:pPr>
        <w:widowControl w:val="0"/>
        <w:numPr>
          <w:ilvl w:val="0"/>
          <w:numId w:val="3"/>
        </w:numPr>
        <w:tabs>
          <w:tab w:val="left" w:pos="2409"/>
          <w:tab w:val="left" w:pos="2976"/>
          <w:tab w:val="left" w:pos="3543"/>
        </w:tabs>
        <w:spacing w:after="120" w:line="380" w:lineRule="exact"/>
        <w:ind w:left="1134" w:firstLine="709"/>
        <w:jc w:val="both"/>
        <w:textDirection w:val="tbRlV"/>
        <w:rPr>
          <w:rFonts w:ascii="Traditional Arabic" w:hAnsi="Traditional Arabic" w:cs="Traditional Arabic"/>
          <w:sz w:val="30"/>
          <w:szCs w:val="30"/>
          <w:lang w:eastAsia="zh-TW"/>
        </w:rPr>
      </w:pPr>
      <w:r w:rsidRPr="0037162E">
        <w:rPr>
          <w:rFonts w:ascii="Traditional Arabic" w:hAnsi="Traditional Arabic" w:cs="Traditional Arabic"/>
          <w:sz w:val="30"/>
          <w:szCs w:val="30"/>
          <w:rtl/>
          <w:lang w:eastAsia="zh-TW"/>
        </w:rPr>
        <w:t xml:space="preserve">يطلب إلى الأمانة أن تقدم إلى مؤتمر الأطراف في اجتماعه العاشر تقريراً عن التقدم المحرز فيما يتعلق بالتوصيات من أجل تحسين المشاركة والانفتاح والشفافية في عملية لجنة استعراض المواد الكيميائية، على النحو الوارد في الوثيقة </w:t>
      </w:r>
      <w:r w:rsidRPr="0037162E">
        <w:rPr>
          <w:rFonts w:asciiTheme="majorBidi" w:hAnsiTheme="majorBidi" w:cstheme="majorBidi"/>
          <w:lang w:eastAsia="zh-TW"/>
        </w:rPr>
        <w:t>UNEP/FAO/RC/COP.9/INF/18</w:t>
      </w:r>
      <w:r w:rsidRPr="0037162E">
        <w:rPr>
          <w:rFonts w:ascii="Traditional Arabic" w:hAnsi="Traditional Arabic" w:cs="Traditional Arabic"/>
          <w:sz w:val="30"/>
          <w:szCs w:val="30"/>
          <w:rtl/>
          <w:lang w:eastAsia="zh-TW"/>
        </w:rPr>
        <w:t xml:space="preserve">، مع إيلاء اهتمام خاص للإجراءات التي تعزز مشاركة </w:t>
      </w:r>
      <w:r w:rsidRPr="0037162E">
        <w:rPr>
          <w:rFonts w:ascii="Traditional Arabic" w:hAnsi="Traditional Arabic" w:cs="Traditional Arabic"/>
          <w:sz w:val="30"/>
          <w:szCs w:val="30"/>
          <w:rtl/>
          <w:lang w:eastAsia="zh-TW"/>
        </w:rPr>
        <w:lastRenderedPageBreak/>
        <w:t>الخبراء والأطراف والمراقبين؛</w:t>
      </w:r>
    </w:p>
    <w:p w:rsidR="00830BE3" w:rsidRDefault="00830BE3" w:rsidP="00830BE3">
      <w:pPr>
        <w:widowControl w:val="0"/>
        <w:numPr>
          <w:ilvl w:val="0"/>
          <w:numId w:val="3"/>
        </w:numPr>
        <w:tabs>
          <w:tab w:val="left" w:pos="2409"/>
          <w:tab w:val="left" w:pos="2976"/>
          <w:tab w:val="left" w:pos="3543"/>
        </w:tabs>
        <w:spacing w:after="120" w:line="380" w:lineRule="exact"/>
        <w:ind w:left="1134" w:firstLine="709"/>
        <w:jc w:val="both"/>
        <w:textDirection w:val="tbRlV"/>
        <w:rPr>
          <w:rFonts w:ascii="Traditional Arabic" w:hAnsi="Traditional Arabic" w:cs="Traditional Arabic"/>
          <w:sz w:val="30"/>
          <w:szCs w:val="30"/>
          <w:rtl/>
          <w:lang w:eastAsia="zh-TW"/>
        </w:rPr>
      </w:pPr>
      <w:r w:rsidRPr="0037162E">
        <w:rPr>
          <w:rFonts w:ascii="Traditional Arabic" w:hAnsi="Traditional Arabic" w:cs="Traditional Arabic"/>
          <w:i/>
          <w:iCs/>
          <w:sz w:val="30"/>
          <w:szCs w:val="30"/>
          <w:rtl/>
          <w:lang w:eastAsia="zh-TW"/>
        </w:rPr>
        <w:t>يطلب أيضاً</w:t>
      </w:r>
      <w:r w:rsidRPr="0037162E">
        <w:rPr>
          <w:rFonts w:ascii="Traditional Arabic" w:hAnsi="Traditional Arabic" w:cs="Traditional Arabic"/>
          <w:sz w:val="30"/>
          <w:szCs w:val="30"/>
          <w:rtl/>
          <w:lang w:eastAsia="zh-TW"/>
        </w:rPr>
        <w:t xml:space="preserve"> إلى الأمانة أن تترجم، رهناً بتوافر الموارد، دليل الجيب للمشاركة الفعالة في لجنة استعراض المواد الكيميائية بموجب اتفاقية روتردام ودليل إجراءات العمل والتوجيهات السياساتية للجنة استعراض المواد الكيميائية.</w:t>
      </w:r>
    </w:p>
    <w:p w:rsidR="00830BE3" w:rsidRPr="00F72DFE" w:rsidRDefault="00830BE3" w:rsidP="00830BE3">
      <w:pPr>
        <w:widowControl w:val="0"/>
        <w:tabs>
          <w:tab w:val="left" w:pos="2409"/>
          <w:tab w:val="left" w:pos="2976"/>
          <w:tab w:val="left" w:pos="3543"/>
        </w:tabs>
        <w:spacing w:after="120" w:line="380" w:lineRule="exact"/>
        <w:jc w:val="both"/>
        <w:textDirection w:val="tbRlV"/>
        <w:rPr>
          <w:rFonts w:ascii="Traditional Arabic" w:hAnsi="Traditional Arabic" w:cs="Traditional Arabic"/>
          <w:sz w:val="30"/>
          <w:szCs w:val="30"/>
          <w:lang w:eastAsia="zh-TW"/>
        </w:rPr>
      </w:pPr>
      <w:bookmarkStart w:id="0" w:name="_GoBack"/>
      <w:bookmarkEnd w:id="0"/>
    </w:p>
    <w:p w:rsidR="00830BE3" w:rsidRPr="0037162E" w:rsidRDefault="00830BE3" w:rsidP="00830BE3">
      <w:pPr>
        <w:widowControl w:val="0"/>
        <w:spacing w:before="240" w:after="120" w:line="400" w:lineRule="exact"/>
        <w:ind w:left="1133"/>
        <w:jc w:val="both"/>
        <w:textDirection w:val="tbRlV"/>
        <w:rPr>
          <w:rFonts w:ascii="Traditional Arabic" w:hAnsi="Traditional Arabic" w:cs="Traditional Arabic"/>
          <w:b/>
          <w:bCs/>
          <w:i/>
          <w:sz w:val="34"/>
          <w:szCs w:val="34"/>
          <w:rtl/>
          <w:lang w:eastAsia="zh-TW"/>
        </w:rPr>
      </w:pPr>
      <w:r w:rsidRPr="0037162E">
        <w:rPr>
          <w:rFonts w:ascii="Traditional Arabic" w:hAnsi="Traditional Arabic" w:cs="Traditional Arabic"/>
          <w:b/>
          <w:bCs/>
          <w:sz w:val="34"/>
          <w:szCs w:val="34"/>
          <w:rtl/>
          <w:lang w:eastAsia="zh-TW"/>
        </w:rPr>
        <w:t>مرفق المقرر ا ر-9/</w:t>
      </w:r>
      <w:r>
        <w:rPr>
          <w:rFonts w:ascii="Traditional Arabic" w:hAnsi="Traditional Arabic" w:cs="Traditional Arabic" w:hint="cs"/>
          <w:b/>
          <w:bCs/>
          <w:sz w:val="34"/>
          <w:szCs w:val="34"/>
          <w:rtl/>
          <w:lang w:eastAsia="zh-TW"/>
        </w:rPr>
        <w:t>2</w:t>
      </w:r>
    </w:p>
    <w:p w:rsidR="00830BE3" w:rsidRPr="0037162E" w:rsidRDefault="00830BE3" w:rsidP="00830BE3">
      <w:pPr>
        <w:widowControl w:val="0"/>
        <w:spacing w:after="240" w:line="400" w:lineRule="exact"/>
        <w:ind w:left="1134"/>
        <w:jc w:val="both"/>
        <w:textDirection w:val="tbRlV"/>
        <w:rPr>
          <w:rFonts w:ascii="Traditional Arabic" w:hAnsi="Traditional Arabic" w:cs="Traditional Arabic"/>
          <w:b/>
          <w:bCs/>
          <w:i/>
          <w:sz w:val="32"/>
          <w:szCs w:val="32"/>
          <w:rtl/>
          <w:lang w:eastAsia="zh-TW"/>
        </w:rPr>
      </w:pPr>
      <w:r w:rsidRPr="0037162E">
        <w:rPr>
          <w:rFonts w:ascii="Traditional Arabic" w:hAnsi="Traditional Arabic" w:cs="Traditional Arabic"/>
          <w:b/>
          <w:bCs/>
          <w:sz w:val="32"/>
          <w:szCs w:val="32"/>
          <w:rtl/>
          <w:lang w:eastAsia="zh-TW"/>
        </w:rPr>
        <w:t>أعضاء لجنة استعراض المواد الكيميائية الذين عينهم مؤتمر الأطراف في اجتماعه التاسع لفترة عضوية تبدأ في 1 أيار/مايو 2020</w:t>
      </w:r>
    </w:p>
    <w:p w:rsidR="00830BE3" w:rsidRPr="0037162E" w:rsidRDefault="00830BE3" w:rsidP="00830BE3">
      <w:pPr>
        <w:spacing w:after="120" w:line="400" w:lineRule="exact"/>
        <w:ind w:left="1133"/>
        <w:jc w:val="both"/>
        <w:textDirection w:val="tbRlV"/>
        <w:rPr>
          <w:rFonts w:ascii="Traditional Arabic" w:eastAsia="Calibri" w:hAnsi="Traditional Arabic" w:cs="Traditional Arabic"/>
          <w:b/>
          <w:bCs/>
          <w:i/>
          <w:sz w:val="30"/>
          <w:szCs w:val="30"/>
          <w:rtl/>
          <w:lang w:eastAsia="zh-TW"/>
        </w:rPr>
      </w:pPr>
      <w:r w:rsidRPr="0037162E">
        <w:rPr>
          <w:rFonts w:ascii="Traditional Arabic" w:hAnsi="Traditional Arabic" w:cs="Traditional Arabic" w:hint="cs"/>
          <w:b/>
          <w:bCs/>
          <w:sz w:val="30"/>
          <w:szCs w:val="30"/>
          <w:rtl/>
          <w:lang w:eastAsia="zh-TW"/>
        </w:rPr>
        <w:t>الدول الأفريقية</w:t>
      </w:r>
    </w:p>
    <w:p w:rsidR="00830BE3" w:rsidRDefault="00830BE3" w:rsidP="00830BE3">
      <w:pPr>
        <w:spacing w:line="400" w:lineRule="exact"/>
        <w:ind w:left="1134" w:firstLine="709"/>
        <w:jc w:val="both"/>
        <w:textDirection w:val="tbRlV"/>
        <w:rPr>
          <w:rFonts w:ascii="Traditional Arabic" w:eastAsia="Calibri" w:hAnsi="Traditional Arabic" w:cs="Traditional Arabic"/>
          <w:i/>
          <w:sz w:val="30"/>
          <w:szCs w:val="30"/>
          <w:rtl/>
          <w:lang w:eastAsia="zh-TW"/>
        </w:rPr>
      </w:pPr>
      <w:r w:rsidRPr="00DD052B">
        <w:rPr>
          <w:rFonts w:ascii="Traditional Arabic" w:hAnsi="Traditional Arabic" w:cs="Traditional Arabic"/>
          <w:sz w:val="30"/>
          <w:szCs w:val="30"/>
          <w:rtl/>
          <w:lang w:eastAsia="zh-TW"/>
        </w:rPr>
        <w:t>السيدة ايتا سار سيك (السنغال)</w:t>
      </w:r>
    </w:p>
    <w:p w:rsidR="00830BE3" w:rsidRDefault="00830BE3" w:rsidP="00830BE3">
      <w:pPr>
        <w:spacing w:line="400" w:lineRule="exact"/>
        <w:ind w:left="1134" w:firstLine="709"/>
        <w:jc w:val="both"/>
        <w:textDirection w:val="tbRlV"/>
        <w:rPr>
          <w:rFonts w:ascii="Traditional Arabic" w:eastAsia="Calibri" w:hAnsi="Traditional Arabic" w:cs="Traditional Arabic"/>
          <w:i/>
          <w:sz w:val="30"/>
          <w:szCs w:val="30"/>
          <w:rtl/>
          <w:lang w:eastAsia="zh-TW"/>
        </w:rPr>
      </w:pPr>
      <w:r w:rsidRPr="00DD052B">
        <w:rPr>
          <w:rFonts w:ascii="Traditional Arabic" w:eastAsia="Calibri" w:hAnsi="Traditional Arabic" w:cs="Traditional Arabic"/>
          <w:i/>
          <w:sz w:val="30"/>
          <w:szCs w:val="30"/>
          <w:rtl/>
          <w:lang w:eastAsia="zh-TW"/>
        </w:rPr>
        <w:t>السيد كلورنس ماتيوي (زمبابوي)</w:t>
      </w:r>
    </w:p>
    <w:p w:rsidR="00830BE3" w:rsidRDefault="00830BE3" w:rsidP="00830BE3">
      <w:pPr>
        <w:spacing w:line="400" w:lineRule="exact"/>
        <w:ind w:left="1134" w:firstLine="709"/>
        <w:jc w:val="both"/>
        <w:textDirection w:val="tbRlV"/>
        <w:rPr>
          <w:rFonts w:ascii="Traditional Arabic" w:eastAsia="Calibri" w:hAnsi="Traditional Arabic" w:cs="Traditional Arabic"/>
          <w:i/>
          <w:sz w:val="30"/>
          <w:szCs w:val="30"/>
          <w:rtl/>
          <w:lang w:eastAsia="zh-TW"/>
        </w:rPr>
      </w:pPr>
      <w:r w:rsidRPr="00DD052B">
        <w:rPr>
          <w:rFonts w:ascii="Traditional Arabic" w:eastAsia="Calibri" w:hAnsi="Traditional Arabic" w:cs="Traditional Arabic"/>
          <w:i/>
          <w:sz w:val="30"/>
          <w:szCs w:val="30"/>
          <w:rtl/>
          <w:lang w:eastAsia="zh-TW"/>
        </w:rPr>
        <w:t>السيد يوسف زيدي (تونس)</w:t>
      </w:r>
    </w:p>
    <w:p w:rsidR="00830BE3" w:rsidRPr="0037162E" w:rsidRDefault="00830BE3" w:rsidP="00830BE3">
      <w:pPr>
        <w:spacing w:after="120" w:line="400" w:lineRule="exact"/>
        <w:ind w:left="1133" w:firstLine="709"/>
        <w:jc w:val="both"/>
        <w:textDirection w:val="tbRlV"/>
        <w:rPr>
          <w:rFonts w:ascii="Traditional Arabic" w:eastAsia="Calibri" w:hAnsi="Traditional Arabic" w:cs="Traditional Arabic"/>
          <w:i/>
          <w:sz w:val="30"/>
          <w:szCs w:val="30"/>
          <w:rtl/>
          <w:lang w:eastAsia="zh-TW"/>
        </w:rPr>
      </w:pPr>
      <w:r w:rsidRPr="00DD052B">
        <w:rPr>
          <w:rFonts w:ascii="Traditional Arabic" w:eastAsia="Calibri" w:hAnsi="Traditional Arabic" w:cs="Traditional Arabic"/>
          <w:i/>
          <w:sz w:val="30"/>
          <w:szCs w:val="30"/>
          <w:rtl/>
          <w:lang w:eastAsia="zh-TW"/>
        </w:rPr>
        <w:t>السيد دانييل ويليام انديو (جمهورية تنزانيا المتحدة)</w:t>
      </w:r>
    </w:p>
    <w:p w:rsidR="00830BE3" w:rsidRPr="0037162E" w:rsidRDefault="00830BE3" w:rsidP="00830BE3">
      <w:pPr>
        <w:spacing w:after="120" w:line="400" w:lineRule="exact"/>
        <w:ind w:left="1133"/>
        <w:jc w:val="both"/>
        <w:textDirection w:val="tbRlV"/>
        <w:rPr>
          <w:rFonts w:ascii="Traditional Arabic" w:eastAsia="Calibri" w:hAnsi="Traditional Arabic" w:cs="Traditional Arabic"/>
          <w:b/>
          <w:bCs/>
          <w:i/>
          <w:sz w:val="30"/>
          <w:szCs w:val="30"/>
          <w:rtl/>
          <w:lang w:eastAsia="zh-TW"/>
        </w:rPr>
      </w:pPr>
      <w:r w:rsidRPr="0037162E">
        <w:rPr>
          <w:rFonts w:ascii="Traditional Arabic" w:hAnsi="Traditional Arabic" w:cs="Traditional Arabic" w:hint="cs"/>
          <w:b/>
          <w:bCs/>
          <w:sz w:val="30"/>
          <w:szCs w:val="30"/>
          <w:rtl/>
          <w:lang w:eastAsia="zh-TW"/>
        </w:rPr>
        <w:t>دول آسيا والمحيط الهادئ</w:t>
      </w:r>
    </w:p>
    <w:p w:rsidR="00830BE3" w:rsidRDefault="00830BE3" w:rsidP="00830BE3">
      <w:pPr>
        <w:spacing w:line="400" w:lineRule="exact"/>
        <w:ind w:left="1134" w:firstLine="709"/>
        <w:jc w:val="both"/>
        <w:textDirection w:val="tbRlV"/>
        <w:rPr>
          <w:rFonts w:ascii="Traditional Arabic" w:eastAsia="Calibri" w:hAnsi="Traditional Arabic" w:cs="Traditional Arabic"/>
          <w:i/>
          <w:sz w:val="30"/>
          <w:szCs w:val="30"/>
          <w:rtl/>
          <w:lang w:eastAsia="zh-TW"/>
        </w:rPr>
      </w:pPr>
      <w:r w:rsidRPr="00487758">
        <w:rPr>
          <w:rFonts w:ascii="Traditional Arabic" w:eastAsia="Calibri" w:hAnsi="Traditional Arabic" w:cs="Traditional Arabic"/>
          <w:i/>
          <w:sz w:val="30"/>
          <w:szCs w:val="30"/>
          <w:rtl/>
          <w:lang w:eastAsia="zh-TW"/>
        </w:rPr>
        <w:t>السيدة يني مليانا (إندونيسيا)</w:t>
      </w:r>
    </w:p>
    <w:p w:rsidR="00830BE3" w:rsidRDefault="00830BE3" w:rsidP="00830BE3">
      <w:pPr>
        <w:spacing w:line="400" w:lineRule="exact"/>
        <w:ind w:left="1134" w:firstLine="709"/>
        <w:jc w:val="both"/>
        <w:textDirection w:val="tbRlV"/>
        <w:rPr>
          <w:rFonts w:ascii="Traditional Arabic" w:eastAsia="Calibri" w:hAnsi="Traditional Arabic" w:cs="Traditional Arabic"/>
          <w:i/>
          <w:sz w:val="30"/>
          <w:szCs w:val="30"/>
          <w:rtl/>
          <w:lang w:eastAsia="zh-TW"/>
        </w:rPr>
      </w:pPr>
      <w:r w:rsidRPr="00487758">
        <w:rPr>
          <w:rFonts w:ascii="Traditional Arabic" w:eastAsia="Calibri" w:hAnsi="Traditional Arabic" w:cs="Traditional Arabic"/>
          <w:i/>
          <w:sz w:val="30"/>
          <w:szCs w:val="30"/>
          <w:rtl/>
          <w:lang w:eastAsia="zh-TW"/>
        </w:rPr>
        <w:t>السيد حسن أزهر (ملديف)</w:t>
      </w:r>
    </w:p>
    <w:p w:rsidR="00830BE3" w:rsidRDefault="00830BE3" w:rsidP="00830BE3">
      <w:pPr>
        <w:spacing w:line="400" w:lineRule="exact"/>
        <w:ind w:left="1134" w:firstLine="709"/>
        <w:jc w:val="both"/>
        <w:textDirection w:val="tbRlV"/>
        <w:rPr>
          <w:rFonts w:ascii="Traditional Arabic" w:eastAsia="Calibri" w:hAnsi="Traditional Arabic" w:cs="Traditional Arabic"/>
          <w:i/>
          <w:sz w:val="30"/>
          <w:szCs w:val="30"/>
          <w:rtl/>
          <w:lang w:eastAsia="zh-TW"/>
        </w:rPr>
      </w:pPr>
      <w:r w:rsidRPr="00487758">
        <w:rPr>
          <w:rFonts w:ascii="Traditional Arabic" w:eastAsia="Calibri" w:hAnsi="Traditional Arabic" w:cs="Traditional Arabic"/>
          <w:i/>
          <w:sz w:val="30"/>
          <w:szCs w:val="30"/>
          <w:rtl/>
          <w:lang w:eastAsia="zh-TW"/>
        </w:rPr>
        <w:t xml:space="preserve">السيد جاياكودي </w:t>
      </w:r>
      <w:r>
        <w:rPr>
          <w:rFonts w:ascii="Traditional Arabic" w:eastAsia="Calibri" w:hAnsi="Traditional Arabic" w:cs="Traditional Arabic" w:hint="cs"/>
          <w:i/>
          <w:sz w:val="30"/>
          <w:szCs w:val="30"/>
          <w:rtl/>
          <w:lang w:eastAsia="zh-TW"/>
        </w:rPr>
        <w:t xml:space="preserve">أ. </w:t>
      </w:r>
      <w:r w:rsidRPr="00487758">
        <w:rPr>
          <w:rFonts w:ascii="Traditional Arabic" w:eastAsia="Calibri" w:hAnsi="Traditional Arabic" w:cs="Traditional Arabic"/>
          <w:i/>
          <w:sz w:val="30"/>
          <w:szCs w:val="30"/>
          <w:rtl/>
          <w:lang w:eastAsia="zh-TW"/>
        </w:rPr>
        <w:t>سوميت (سري لانكا)</w:t>
      </w:r>
    </w:p>
    <w:p w:rsidR="00830BE3" w:rsidRPr="0037162E" w:rsidRDefault="00830BE3" w:rsidP="00830BE3">
      <w:pPr>
        <w:spacing w:after="120" w:line="400" w:lineRule="exact"/>
        <w:ind w:left="1133" w:firstLine="709"/>
        <w:jc w:val="both"/>
        <w:textDirection w:val="tbRlV"/>
        <w:rPr>
          <w:rFonts w:ascii="Traditional Arabic" w:eastAsia="Calibri" w:hAnsi="Traditional Arabic" w:cs="Traditional Arabic"/>
          <w:i/>
          <w:sz w:val="30"/>
          <w:szCs w:val="30"/>
          <w:rtl/>
          <w:lang w:eastAsia="zh-TW"/>
        </w:rPr>
      </w:pPr>
      <w:r w:rsidRPr="00487758">
        <w:rPr>
          <w:rFonts w:ascii="Traditional Arabic" w:eastAsia="Calibri" w:hAnsi="Traditional Arabic" w:cs="Traditional Arabic"/>
          <w:i/>
          <w:sz w:val="30"/>
          <w:szCs w:val="30"/>
          <w:rtl/>
          <w:lang w:eastAsia="zh-TW"/>
        </w:rPr>
        <w:t>السيد دينيش رونيوال (الهند)</w:t>
      </w:r>
    </w:p>
    <w:p w:rsidR="00830BE3" w:rsidRPr="0037162E" w:rsidRDefault="00830BE3" w:rsidP="00830BE3">
      <w:pPr>
        <w:spacing w:after="120" w:line="400" w:lineRule="exact"/>
        <w:ind w:left="1133"/>
        <w:jc w:val="both"/>
        <w:textDirection w:val="tbRlV"/>
        <w:rPr>
          <w:rFonts w:ascii="Traditional Arabic" w:eastAsia="Calibri" w:hAnsi="Traditional Arabic" w:cs="Traditional Arabic"/>
          <w:b/>
          <w:bCs/>
          <w:i/>
          <w:sz w:val="30"/>
          <w:szCs w:val="30"/>
          <w:rtl/>
          <w:lang w:eastAsia="zh-TW"/>
        </w:rPr>
      </w:pPr>
      <w:r w:rsidRPr="0037162E">
        <w:rPr>
          <w:rFonts w:ascii="Traditional Arabic" w:hAnsi="Traditional Arabic" w:cs="Traditional Arabic" w:hint="cs"/>
          <w:b/>
          <w:bCs/>
          <w:sz w:val="30"/>
          <w:szCs w:val="30"/>
          <w:rtl/>
          <w:lang w:eastAsia="zh-TW"/>
        </w:rPr>
        <w:t>دول أوروبا الشرقية ووسط أوروبا</w:t>
      </w:r>
    </w:p>
    <w:p w:rsidR="00830BE3" w:rsidRDefault="00830BE3" w:rsidP="00830BE3">
      <w:pPr>
        <w:spacing w:after="120" w:line="400" w:lineRule="exact"/>
        <w:ind w:left="1133" w:firstLine="709"/>
        <w:jc w:val="both"/>
        <w:textDirection w:val="tbRlV"/>
        <w:rPr>
          <w:rFonts w:ascii="Traditional Arabic" w:eastAsia="Calibri" w:hAnsi="Traditional Arabic" w:cs="Traditional Arabic"/>
          <w:i/>
          <w:sz w:val="30"/>
          <w:szCs w:val="30"/>
          <w:rtl/>
          <w:lang w:eastAsia="zh-TW"/>
        </w:rPr>
      </w:pPr>
      <w:r w:rsidRPr="00487758">
        <w:rPr>
          <w:rFonts w:ascii="Traditional Arabic" w:eastAsia="Calibri" w:hAnsi="Traditional Arabic" w:cs="Traditional Arabic"/>
          <w:i/>
          <w:sz w:val="30"/>
          <w:szCs w:val="30"/>
          <w:rtl/>
          <w:lang w:eastAsia="zh-TW"/>
        </w:rPr>
        <w:t>السيدة أناهيت الكساندريان (أرمينيا)</w:t>
      </w:r>
    </w:p>
    <w:p w:rsidR="00830BE3" w:rsidRPr="0037162E" w:rsidRDefault="00830BE3" w:rsidP="00830BE3">
      <w:pPr>
        <w:spacing w:after="120" w:line="400" w:lineRule="exact"/>
        <w:ind w:left="1133"/>
        <w:jc w:val="both"/>
        <w:textDirection w:val="tbRlV"/>
        <w:rPr>
          <w:rFonts w:ascii="Traditional Arabic" w:eastAsia="Calibri" w:hAnsi="Traditional Arabic" w:cs="Traditional Arabic"/>
          <w:b/>
          <w:bCs/>
          <w:i/>
          <w:sz w:val="30"/>
          <w:szCs w:val="30"/>
          <w:rtl/>
          <w:lang w:eastAsia="zh-TW"/>
        </w:rPr>
      </w:pPr>
      <w:r w:rsidRPr="0037162E">
        <w:rPr>
          <w:rFonts w:ascii="Traditional Arabic" w:hAnsi="Traditional Arabic" w:cs="Traditional Arabic" w:hint="cs"/>
          <w:b/>
          <w:bCs/>
          <w:sz w:val="30"/>
          <w:szCs w:val="30"/>
          <w:rtl/>
          <w:lang w:eastAsia="zh-TW"/>
        </w:rPr>
        <w:t>دول أمريكا اللاتينية ومنطقة البحر الكاريبي</w:t>
      </w:r>
    </w:p>
    <w:p w:rsidR="00830BE3" w:rsidRPr="00487758" w:rsidRDefault="00830BE3" w:rsidP="00830BE3">
      <w:pPr>
        <w:spacing w:line="400" w:lineRule="exact"/>
        <w:ind w:left="1134" w:firstLine="709"/>
        <w:jc w:val="both"/>
        <w:textDirection w:val="tbRlV"/>
        <w:rPr>
          <w:rFonts w:ascii="Traditional Arabic" w:hAnsi="Traditional Arabic" w:cs="Traditional Arabic"/>
          <w:i/>
          <w:sz w:val="30"/>
          <w:szCs w:val="30"/>
          <w:rtl/>
          <w:lang w:eastAsia="zh-TW"/>
        </w:rPr>
      </w:pPr>
      <w:r w:rsidRPr="00487758">
        <w:rPr>
          <w:rFonts w:ascii="Traditional Arabic" w:hAnsi="Traditional Arabic" w:cs="Traditional Arabic"/>
          <w:i/>
          <w:sz w:val="30"/>
          <w:szCs w:val="30"/>
          <w:rtl/>
          <w:lang w:eastAsia="zh-TW"/>
        </w:rPr>
        <w:t>السيدة اليانا روزا موناريز (الأرجنتين)</w:t>
      </w:r>
    </w:p>
    <w:p w:rsidR="00830BE3" w:rsidRPr="0037162E" w:rsidRDefault="00830BE3" w:rsidP="00830BE3">
      <w:pPr>
        <w:spacing w:after="120" w:line="400" w:lineRule="exact"/>
        <w:ind w:left="1133" w:firstLine="709"/>
        <w:jc w:val="both"/>
        <w:textDirection w:val="tbRlV"/>
        <w:rPr>
          <w:rFonts w:ascii="Traditional Arabic" w:eastAsia="Calibri" w:hAnsi="Traditional Arabic" w:cs="Traditional Arabic"/>
          <w:i/>
          <w:sz w:val="30"/>
          <w:szCs w:val="30"/>
          <w:rtl/>
          <w:lang w:eastAsia="zh-TW"/>
        </w:rPr>
      </w:pPr>
      <w:r w:rsidRPr="00E2708D">
        <w:rPr>
          <w:rFonts w:ascii="Traditional Arabic" w:eastAsia="Calibri" w:hAnsi="Traditional Arabic" w:cs="Traditional Arabic"/>
          <w:i/>
          <w:sz w:val="30"/>
          <w:szCs w:val="30"/>
          <w:rtl/>
          <w:lang w:eastAsia="zh-TW"/>
        </w:rPr>
        <w:t>السيد جوناه اورموند (أنتيغوا وبربودا)</w:t>
      </w:r>
    </w:p>
    <w:p w:rsidR="00830BE3" w:rsidRPr="0037162E" w:rsidRDefault="00830BE3" w:rsidP="00830BE3">
      <w:pPr>
        <w:spacing w:after="120" w:line="400" w:lineRule="exact"/>
        <w:ind w:left="1133"/>
        <w:jc w:val="both"/>
        <w:textDirection w:val="tbRlV"/>
        <w:rPr>
          <w:rFonts w:ascii="Traditional Arabic" w:eastAsia="Calibri" w:hAnsi="Traditional Arabic" w:cs="Traditional Arabic"/>
          <w:b/>
          <w:bCs/>
          <w:i/>
          <w:sz w:val="30"/>
          <w:szCs w:val="30"/>
          <w:rtl/>
          <w:lang w:eastAsia="zh-TW"/>
        </w:rPr>
      </w:pPr>
      <w:r w:rsidRPr="0037162E">
        <w:rPr>
          <w:rFonts w:ascii="Traditional Arabic" w:hAnsi="Traditional Arabic" w:cs="Traditional Arabic" w:hint="cs"/>
          <w:b/>
          <w:bCs/>
          <w:sz w:val="30"/>
          <w:szCs w:val="30"/>
          <w:rtl/>
          <w:lang w:eastAsia="zh-TW"/>
        </w:rPr>
        <w:t>دول أوروبا الغربية ودول أخرى</w:t>
      </w:r>
    </w:p>
    <w:p w:rsidR="00830BE3" w:rsidRDefault="00830BE3" w:rsidP="00830BE3">
      <w:pPr>
        <w:spacing w:line="400" w:lineRule="exact"/>
        <w:ind w:left="1134" w:firstLine="709"/>
        <w:jc w:val="both"/>
        <w:textDirection w:val="tbRlV"/>
        <w:rPr>
          <w:rFonts w:ascii="Traditional Arabic" w:hAnsi="Traditional Arabic" w:cs="Traditional Arabic"/>
          <w:sz w:val="30"/>
          <w:szCs w:val="30"/>
          <w:rtl/>
          <w:lang w:eastAsia="zh-TW"/>
        </w:rPr>
      </w:pPr>
      <w:r w:rsidRPr="00E2708D">
        <w:rPr>
          <w:rFonts w:ascii="Traditional Arabic" w:hAnsi="Traditional Arabic" w:cs="Traditional Arabic"/>
          <w:sz w:val="30"/>
          <w:szCs w:val="30"/>
          <w:rtl/>
          <w:lang w:eastAsia="zh-TW"/>
        </w:rPr>
        <w:t>السيد يورغن هيلبغ (النمسا)</w:t>
      </w:r>
    </w:p>
    <w:p w:rsidR="00830BE3" w:rsidRDefault="00830BE3" w:rsidP="00830BE3">
      <w:pPr>
        <w:spacing w:line="400" w:lineRule="exact"/>
        <w:ind w:left="1134" w:firstLine="709"/>
        <w:jc w:val="both"/>
        <w:textDirection w:val="tbRlV"/>
        <w:rPr>
          <w:rFonts w:ascii="Traditional Arabic" w:hAnsi="Traditional Arabic" w:cs="Traditional Arabic"/>
          <w:sz w:val="30"/>
          <w:szCs w:val="30"/>
          <w:rtl/>
          <w:lang w:eastAsia="zh-TW"/>
        </w:rPr>
      </w:pPr>
      <w:r w:rsidRPr="00316EEB">
        <w:rPr>
          <w:rFonts w:ascii="Traditional Arabic" w:hAnsi="Traditional Arabic" w:cs="Traditional Arabic"/>
          <w:sz w:val="30"/>
          <w:szCs w:val="30"/>
          <w:rtl/>
          <w:lang w:eastAsia="zh-TW"/>
        </w:rPr>
        <w:t>السيدة مارا كورابا (بلجيكا)</w:t>
      </w:r>
    </w:p>
    <w:p w:rsidR="00830BE3" w:rsidRDefault="00830BE3" w:rsidP="00830BE3">
      <w:pPr>
        <w:spacing w:after="120" w:line="400" w:lineRule="exact"/>
        <w:ind w:left="1133" w:firstLine="709"/>
        <w:jc w:val="both"/>
        <w:textDirection w:val="tbRlV"/>
        <w:rPr>
          <w:rFonts w:ascii="Traditional Arabic" w:hAnsi="Traditional Arabic" w:cs="Traditional Arabic"/>
          <w:sz w:val="30"/>
          <w:szCs w:val="30"/>
          <w:rtl/>
          <w:lang w:eastAsia="zh-TW"/>
        </w:rPr>
      </w:pPr>
      <w:r w:rsidRPr="00316EEB">
        <w:rPr>
          <w:rFonts w:ascii="Traditional Arabic" w:hAnsi="Traditional Arabic" w:cs="Traditional Arabic"/>
          <w:sz w:val="30"/>
          <w:szCs w:val="30"/>
          <w:rtl/>
          <w:lang w:eastAsia="zh-TW"/>
        </w:rPr>
        <w:t>السيدة سارة مايليفر (سويسرا)</w:t>
      </w:r>
    </w:p>
    <w:sectPr w:rsidR="00830BE3">
      <w:headerReference w:type="firs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130" w:rsidRDefault="00DE0130" w:rsidP="00830BE3">
      <w:r>
        <w:separator/>
      </w:r>
    </w:p>
  </w:endnote>
  <w:endnote w:type="continuationSeparator" w:id="0">
    <w:p w:rsidR="00DE0130" w:rsidRDefault="00DE0130" w:rsidP="008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130" w:rsidRDefault="00DE0130" w:rsidP="00830BE3">
      <w:r>
        <w:separator/>
      </w:r>
    </w:p>
  </w:footnote>
  <w:footnote w:type="continuationSeparator" w:id="0">
    <w:p w:rsidR="00DE0130" w:rsidRDefault="00DE0130" w:rsidP="00830BE3">
      <w:r>
        <w:continuationSeparator/>
      </w:r>
    </w:p>
  </w:footnote>
  <w:footnote w:id="1">
    <w:p w:rsidR="00830BE3" w:rsidRPr="00F72DFE" w:rsidRDefault="00830BE3" w:rsidP="00830BE3">
      <w:pPr>
        <w:pStyle w:val="FootnoteText"/>
        <w:spacing w:after="20" w:line="300" w:lineRule="exact"/>
        <w:ind w:left="1133"/>
        <w:jc w:val="both"/>
        <w:textDirection w:val="tbRlV"/>
        <w:rPr>
          <w:rFonts w:cs="Traditional Arabic"/>
          <w:szCs w:val="26"/>
          <w:rtl/>
          <w:lang w:val="en-GB" w:eastAsia="zh-TW"/>
        </w:rPr>
      </w:pPr>
      <w:r w:rsidRPr="00F72DFE">
        <w:rPr>
          <w:rFonts w:cs="Traditional Arabic"/>
          <w:szCs w:val="26"/>
          <w:rtl/>
          <w:lang w:val="en-GB" w:eastAsia="zh-TW"/>
        </w:rPr>
        <w:t>(</w:t>
      </w:r>
      <w:r w:rsidRPr="00F72DFE">
        <w:rPr>
          <w:rStyle w:val="FootnoteReference"/>
          <w:rFonts w:cs="Traditional Arabic"/>
          <w:szCs w:val="26"/>
          <w:rtl/>
          <w:lang w:val="en-GB" w:eastAsia="zh-TW"/>
        </w:rPr>
        <w:footnoteRef/>
      </w:r>
      <w:r w:rsidRPr="00F72DFE">
        <w:rPr>
          <w:rFonts w:cs="Traditional Arabic"/>
          <w:szCs w:val="26"/>
          <w:rtl/>
          <w:lang w:val="en-GB" w:eastAsia="zh-TW"/>
        </w:rPr>
        <w:t>)</w:t>
      </w:r>
      <w:r>
        <w:rPr>
          <w:rFonts w:cs="Traditional Arabic" w:hint="cs"/>
          <w:szCs w:val="26"/>
          <w:rtl/>
          <w:lang w:val="en-GB" w:eastAsia="zh-TW"/>
        </w:rPr>
        <w:t xml:space="preserve"> </w:t>
      </w:r>
      <w:r w:rsidRPr="00F72DFE">
        <w:rPr>
          <w:rFonts w:cs="Traditional Arabic" w:hint="cs"/>
          <w:szCs w:val="26"/>
          <w:rtl/>
          <w:lang w:val="en-GB" w:eastAsia="zh-TW"/>
        </w:rPr>
        <w:t xml:space="preserve"> </w:t>
      </w:r>
      <w:r w:rsidRPr="00B95715">
        <w:rPr>
          <w:rFonts w:cs="Traditional Arabic"/>
          <w:sz w:val="18"/>
          <w:szCs w:val="18"/>
          <w:lang w:val="en-GB" w:eastAsia="zh-TW"/>
        </w:rPr>
        <w:t>UNEP/FAO/RC/CRC.13/19</w:t>
      </w:r>
      <w:r w:rsidRPr="00F72DFE">
        <w:rPr>
          <w:rFonts w:cs="Traditional Arabic"/>
          <w:szCs w:val="26"/>
          <w:rtl/>
          <w:lang w:val="en-GB" w:eastAsia="zh-TW"/>
        </w:rPr>
        <w:t xml:space="preserve"> </w:t>
      </w:r>
      <w:r w:rsidRPr="00F72DFE">
        <w:rPr>
          <w:rFonts w:cs="Traditional Arabic" w:hint="cs"/>
          <w:szCs w:val="26"/>
          <w:rtl/>
          <w:lang w:val="en-GB" w:eastAsia="zh-TW"/>
        </w:rPr>
        <w:t>و</w:t>
      </w:r>
      <w:r w:rsidRPr="00B95715">
        <w:rPr>
          <w:rFonts w:cs="Traditional Arabic"/>
          <w:sz w:val="18"/>
          <w:szCs w:val="18"/>
          <w:lang w:val="en-GB" w:eastAsia="zh-TW"/>
        </w:rPr>
        <w:t>UNEP/FAO/RC/CRC.14/10</w:t>
      </w:r>
      <w:r w:rsidRPr="00F72DFE">
        <w:rPr>
          <w:rFonts w:cs="Traditional Arabic"/>
          <w:szCs w:val="26"/>
          <w:rtl/>
          <w:lang w:val="en-GB" w:eastAsia="zh-TW"/>
        </w:rPr>
        <w:t>.</w:t>
      </w:r>
    </w:p>
  </w:footnote>
  <w:footnote w:id="2">
    <w:p w:rsidR="00830BE3" w:rsidRPr="00F72DFE" w:rsidRDefault="00830BE3" w:rsidP="00830BE3">
      <w:pPr>
        <w:pStyle w:val="FootnoteText"/>
        <w:spacing w:after="20" w:line="300" w:lineRule="exact"/>
        <w:ind w:left="1133"/>
        <w:jc w:val="both"/>
        <w:textDirection w:val="tbRlV"/>
        <w:rPr>
          <w:rFonts w:cs="Traditional Arabic"/>
          <w:szCs w:val="26"/>
          <w:lang w:eastAsia="zh-TW"/>
        </w:rPr>
      </w:pPr>
      <w:r w:rsidRPr="00F72DFE">
        <w:rPr>
          <w:rFonts w:cs="Traditional Arabic"/>
          <w:szCs w:val="26"/>
          <w:rtl/>
          <w:lang w:val="en-GB" w:eastAsia="zh-TW"/>
        </w:rPr>
        <w:t>(</w:t>
      </w:r>
      <w:r w:rsidRPr="00F72DFE">
        <w:rPr>
          <w:rStyle w:val="FootnoteReference"/>
          <w:rFonts w:cs="Traditional Arabic"/>
          <w:szCs w:val="26"/>
          <w:rtl/>
          <w:lang w:val="en-GB" w:eastAsia="zh-TW"/>
        </w:rPr>
        <w:footnoteRef/>
      </w:r>
      <w:r w:rsidRPr="00F72DFE">
        <w:rPr>
          <w:rFonts w:cs="Traditional Arabic"/>
          <w:szCs w:val="26"/>
          <w:rtl/>
          <w:lang w:val="en-GB" w:eastAsia="zh-TW"/>
        </w:rPr>
        <w:t xml:space="preserve">)  ترد السير الذاتية لهؤلاء الخبراء في الوثيقة </w:t>
      </w:r>
      <w:r w:rsidRPr="00B95715">
        <w:rPr>
          <w:rFonts w:cs="Traditional Arabic"/>
          <w:sz w:val="18"/>
          <w:szCs w:val="18"/>
          <w:lang w:val="en-GB" w:eastAsia="zh-TW"/>
        </w:rPr>
        <w:t>UNEP/FAO/RC/COP.9/INF/4/Rev.1</w:t>
      </w:r>
      <w:r w:rsidRPr="00F72DFE">
        <w:rPr>
          <w:rFonts w:cs="Traditional Arabic"/>
          <w:szCs w:val="26"/>
          <w:rtl/>
          <w:lang w:val="en-GB"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BE3" w:rsidRDefault="00830BE3" w:rsidP="00816550">
    <w:pPr>
      <w:pStyle w:val="Header"/>
      <w:spacing w:before="20" w:after="40"/>
      <w:rPr>
        <w:sz w:val="17"/>
        <w:szCs w:val="17"/>
      </w:rPr>
    </w:pPr>
    <w:r>
      <w:rPr>
        <w:sz w:val="17"/>
        <w:szCs w:val="17"/>
      </w:rPr>
      <w:t>UNEP/POPS/COP.9/30</w:t>
    </w:r>
  </w:p>
  <w:p w:rsidR="00830BE3" w:rsidRDefault="00830BE3" w:rsidP="00816550">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C8561A"/>
    <w:multiLevelType w:val="singleLevel"/>
    <w:tmpl w:val="779E85D6"/>
    <w:lvl w:ilvl="0">
      <w:numFmt w:val="ganada"/>
      <w:pStyle w:val="Heading4"/>
      <w:lvlText w:val="%1"/>
      <w:lvlJc w:val="left"/>
      <w:pPr>
        <w:tabs>
          <w:tab w:val="num" w:pos="360"/>
        </w:tabs>
        <w:ind w:right="360" w:hanging="360"/>
      </w:pPr>
      <w:rPr>
        <w:rFonts w:hint="default"/>
      </w:rPr>
    </w:lvl>
  </w:abstractNum>
  <w:abstractNum w:abstractNumId="1" w15:restartNumberingAfterBreak="0">
    <w:nsid w:val="52A66A9D"/>
    <w:multiLevelType w:val="multilevel"/>
    <w:tmpl w:val="6EDC70FC"/>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num>
  <w:num w:numId="3">
    <w:abstractNumId w:val="1"/>
    <w:lvlOverride w:ilvl="0">
      <w:startOverride w:val="1"/>
      <w:lvl w:ilvl="0">
        <w:start w:val="1"/>
        <w:numFmt w:val="decimal"/>
        <w:pStyle w:val="Normalnumber"/>
        <w:lvlText w:val="%1-"/>
        <w:lvlJc w:val="left"/>
        <w:pPr>
          <w:tabs>
            <w:tab w:val="num" w:pos="567"/>
          </w:tabs>
          <w:ind w:left="1247" w:firstLine="0"/>
        </w:pPr>
        <w:rPr>
          <w:rFonts w:ascii="Times New Roman" w:eastAsia="Times New Roman" w:hAnsi="Times New Roman" w:cs="Traditional Arabic"/>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D0"/>
    <w:rsid w:val="00830BE3"/>
    <w:rsid w:val="00AA70D0"/>
    <w:rsid w:val="00DE013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E1B1"/>
  <w15:chartTrackingRefBased/>
  <w15:docId w15:val="{48E37FE4-6FF8-4660-89FF-FDDF1964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0D0"/>
    <w:pPr>
      <w:bidi/>
      <w:spacing w:after="0" w:line="240" w:lineRule="auto"/>
    </w:pPr>
    <w:rPr>
      <w:rFonts w:ascii="Times" w:eastAsia="Times New Roman" w:hAnsi="Times" w:cs="Simplified Arabic"/>
      <w:noProof/>
      <w:sz w:val="20"/>
      <w:szCs w:val="28"/>
      <w:lang w:eastAsia="en-US"/>
    </w:rPr>
  </w:style>
  <w:style w:type="paragraph" w:styleId="Heading4">
    <w:name w:val="heading 4"/>
    <w:aliases w:val="MainPara"/>
    <w:basedOn w:val="Normal"/>
    <w:next w:val="Normal"/>
    <w:link w:val="Heading4Char"/>
    <w:qFormat/>
    <w:rsid w:val="00830BE3"/>
    <w:pPr>
      <w:keepNext/>
      <w:numPr>
        <w:numId w:val="2"/>
      </w:numPr>
      <w:tabs>
        <w:tab w:val="clear" w:pos="360"/>
        <w:tab w:val="num" w:pos="720"/>
      </w:tabs>
      <w:bidi w:val="0"/>
      <w:ind w:left="720" w:right="0" w:hanging="720"/>
      <w:outlineLvl w:val="3"/>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numberChar">
    <w:name w:val="Normal_number Char"/>
    <w:link w:val="Normalnumber"/>
    <w:rsid w:val="00AA70D0"/>
    <w:rPr>
      <w:lang w:val="en-GB"/>
    </w:rPr>
  </w:style>
  <w:style w:type="numbering" w:customStyle="1" w:styleId="Normallist">
    <w:name w:val="Normal_list"/>
    <w:basedOn w:val="NoList"/>
    <w:rsid w:val="00AA70D0"/>
    <w:pPr>
      <w:numPr>
        <w:numId w:val="1"/>
      </w:numPr>
    </w:pPr>
  </w:style>
  <w:style w:type="paragraph" w:customStyle="1" w:styleId="Normalnumber">
    <w:name w:val="Normal_number"/>
    <w:basedOn w:val="Normal"/>
    <w:link w:val="NormalnumberChar"/>
    <w:qFormat/>
    <w:rsid w:val="00AA70D0"/>
    <w:pPr>
      <w:numPr>
        <w:numId w:val="1"/>
      </w:numPr>
      <w:tabs>
        <w:tab w:val="left" w:pos="624"/>
      </w:tabs>
      <w:bidi w:val="0"/>
      <w:spacing w:after="120"/>
    </w:pPr>
    <w:rPr>
      <w:rFonts w:asciiTheme="minorHAnsi" w:eastAsiaTheme="minorEastAsia" w:hAnsiTheme="minorHAnsi" w:cstheme="minorBidi"/>
      <w:noProof w:val="0"/>
      <w:sz w:val="22"/>
      <w:szCs w:val="22"/>
      <w:lang w:val="en-GB" w:eastAsia="zh-CN"/>
    </w:rPr>
  </w:style>
  <w:style w:type="character" w:customStyle="1" w:styleId="Heading4Char">
    <w:name w:val="Heading 4 Char"/>
    <w:basedOn w:val="DefaultParagraphFont"/>
    <w:link w:val="Heading4"/>
    <w:rsid w:val="00830BE3"/>
    <w:rPr>
      <w:rFonts w:ascii="Times New Roman" w:eastAsia="Times New Roman" w:hAnsi="Times New Roman" w:cs="Simplified Arabic"/>
      <w:noProof/>
      <w:sz w:val="24"/>
      <w:szCs w:val="28"/>
      <w:lang w:eastAsia="en-US"/>
    </w:rPr>
  </w:style>
  <w:style w:type="paragraph" w:styleId="Header">
    <w:name w:val="header"/>
    <w:aliases w:val="Header Char2,Header Char1 Char1,Header Char Char Char1,Header Char1 Char Char Char1,Header Char Char Char Char Char1,Header Char Char1 Char1,Header Char Char2,Header Char1 Char Char1,Header Char Char Char Char1,Header Char1 Char Char Char Char"/>
    <w:basedOn w:val="Normal"/>
    <w:link w:val="HeaderChar"/>
    <w:uiPriority w:val="99"/>
    <w:rsid w:val="00830BE3"/>
    <w:pPr>
      <w:tabs>
        <w:tab w:val="center" w:pos="4153"/>
        <w:tab w:val="right" w:pos="8306"/>
      </w:tabs>
    </w:pPr>
    <w:rPr>
      <w:szCs w:val="24"/>
    </w:rPr>
  </w:style>
  <w:style w:type="character" w:customStyle="1" w:styleId="HeaderChar">
    <w:name w:val="Header Char"/>
    <w:aliases w:val="Header Char2 Char,Header Char1 Char1 Char,Header Char Char Char1 Char,Header Char1 Char Char Char1 Char,Header Char Char Char Char Char1 Char,Header Char Char1 Char1 Char,Header Char Char2 Char,Header Char1 Char Char1 Char"/>
    <w:basedOn w:val="DefaultParagraphFont"/>
    <w:link w:val="Header"/>
    <w:uiPriority w:val="99"/>
    <w:rsid w:val="00830BE3"/>
    <w:rPr>
      <w:rFonts w:ascii="Times" w:eastAsia="Times New Roman" w:hAnsi="Times" w:cs="Simplified Arabic"/>
      <w:noProof/>
      <w:sz w:val="20"/>
      <w:szCs w:val="24"/>
      <w:lang w:eastAsia="en-US"/>
    </w:rPr>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830BE3"/>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830BE3"/>
    <w:rPr>
      <w:rFonts w:ascii="Times" w:eastAsia="Times New Roman" w:hAnsi="Times" w:cs="Simplified Arabic"/>
      <w:noProof/>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uiPriority w:val="99"/>
    <w:qFormat/>
    <w:rsid w:val="00830BE3"/>
    <w:rPr>
      <w:vertAlign w:val="superscript"/>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uiPriority w:val="99"/>
    <w:rsid w:val="00830BE3"/>
    <w:pPr>
      <w:bidi w:val="0"/>
      <w:spacing w:before="120" w:after="160" w:line="240" w:lineRule="exact"/>
    </w:pPr>
    <w:rPr>
      <w:rFonts w:asciiTheme="minorHAnsi" w:eastAsiaTheme="minorEastAsia" w:hAnsiTheme="minorHAnsi" w:cstheme="minorBidi"/>
      <w:noProof w:val="0"/>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2019-11-27T19:29:00Z</dcterms:created>
  <dcterms:modified xsi:type="dcterms:W3CDTF">2019-11-27T19:29:00Z</dcterms:modified>
</cp:coreProperties>
</file>