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58BB" w:rsidRPr="00C860F5" w:rsidRDefault="006C58BB" w:rsidP="006C58BB">
      <w:pPr>
        <w:pStyle w:val="BBTitle"/>
        <w:ind w:left="1200"/>
        <w:rPr>
          <w:rFonts w:eastAsia="SimHei"/>
          <w:sz w:val="32"/>
          <w:lang w:eastAsia="zh-CN"/>
        </w:rPr>
      </w:pPr>
      <w:r w:rsidRPr="00C860F5">
        <w:rPr>
          <w:rFonts w:eastAsia="SimHei"/>
          <w:sz w:val="32"/>
          <w:lang w:eastAsia="zh-CN"/>
        </w:rPr>
        <w:t>R</w:t>
      </w:r>
      <w:r w:rsidRPr="00C860F5">
        <w:rPr>
          <w:rFonts w:eastAsia="SimHei" w:hint="eastAsia"/>
          <w:sz w:val="32"/>
          <w:lang w:val="zh-CN" w:eastAsia="zh-CN"/>
        </w:rPr>
        <w:t>C-</w:t>
      </w:r>
      <w:r w:rsidRPr="00C860F5">
        <w:rPr>
          <w:rFonts w:eastAsia="SimHei"/>
          <w:sz w:val="32"/>
          <w:lang w:eastAsia="zh-CN"/>
        </w:rPr>
        <w:t>9/</w:t>
      </w:r>
      <w:r w:rsidRPr="00C860F5">
        <w:rPr>
          <w:rFonts w:eastAsia="SimHei"/>
          <w:sz w:val="32"/>
          <w:lang w:val="zh-CN" w:eastAsia="zh-CN"/>
        </w:rPr>
        <w:t xml:space="preserve">2 </w:t>
      </w:r>
      <w:r w:rsidRPr="00C860F5">
        <w:rPr>
          <w:rFonts w:eastAsia="SimHei" w:hint="eastAsia"/>
          <w:sz w:val="32"/>
          <w:lang w:val="zh-CN" w:eastAsia="zh-CN"/>
        </w:rPr>
        <w:t>：</w:t>
      </w:r>
      <w:r w:rsidRPr="00C860F5">
        <w:rPr>
          <w:rFonts w:eastAsia="SimHei"/>
          <w:sz w:val="32"/>
          <w:lang w:val="zh-CN" w:eastAsia="zh-CN"/>
        </w:rPr>
        <w:t>化学品审查委员会</w:t>
      </w:r>
      <w:r w:rsidRPr="00C860F5">
        <w:rPr>
          <w:rFonts w:eastAsia="SimHei" w:hint="eastAsia"/>
          <w:sz w:val="32"/>
          <w:lang w:val="zh-CN" w:eastAsia="zh-CN"/>
        </w:rPr>
        <w:t>的</w:t>
      </w:r>
      <w:r w:rsidRPr="00C860F5">
        <w:rPr>
          <w:rFonts w:eastAsia="SimHei"/>
          <w:sz w:val="32"/>
          <w:lang w:val="zh-CN" w:eastAsia="zh-CN"/>
        </w:rPr>
        <w:t>运作</w:t>
      </w:r>
    </w:p>
    <w:p w:rsidR="006C58BB" w:rsidRPr="00A27BF1" w:rsidRDefault="006C58BB" w:rsidP="006C58BB">
      <w:pPr>
        <w:pStyle w:val="Normal-pool"/>
        <w:widowControl w:val="0"/>
        <w:tabs>
          <w:tab w:val="clear" w:pos="1247"/>
          <w:tab w:val="clear" w:pos="1814"/>
          <w:tab w:val="clear" w:pos="2381"/>
          <w:tab w:val="clear" w:pos="2948"/>
          <w:tab w:val="clear" w:pos="3515"/>
          <w:tab w:val="left" w:pos="624"/>
        </w:tabs>
        <w:spacing w:after="120"/>
        <w:ind w:left="1200" w:firstLine="480"/>
        <w:jc w:val="both"/>
        <w:rPr>
          <w:rFonts w:eastAsia="KaiTi"/>
          <w:iCs/>
          <w:sz w:val="24"/>
          <w:szCs w:val="24"/>
        </w:rPr>
      </w:pPr>
      <w:proofErr w:type="spellStart"/>
      <w:r w:rsidRPr="00A27BF1">
        <w:rPr>
          <w:rFonts w:eastAsia="KaiTi"/>
          <w:iCs/>
          <w:sz w:val="24"/>
          <w:szCs w:val="24"/>
          <w:lang w:val="zh-CN"/>
        </w:rPr>
        <w:t>缔约方大会</w:t>
      </w:r>
      <w:proofErr w:type="spellEnd"/>
    </w:p>
    <w:p w:rsidR="006C58BB" w:rsidRPr="00A27BF1" w:rsidRDefault="006C58BB" w:rsidP="006C58BB">
      <w:pPr>
        <w:pStyle w:val="Normalnumber"/>
        <w:widowControl w:val="0"/>
        <w:numPr>
          <w:ilvl w:val="0"/>
          <w:numId w:val="9"/>
        </w:numPr>
        <w:tabs>
          <w:tab w:val="num" w:pos="360"/>
          <w:tab w:val="left" w:pos="2280"/>
        </w:tabs>
        <w:ind w:left="1200" w:firstLine="480"/>
        <w:jc w:val="both"/>
        <w:rPr>
          <w:sz w:val="24"/>
          <w:szCs w:val="24"/>
          <w:lang w:eastAsia="zh-CN"/>
        </w:rPr>
      </w:pPr>
      <w:r w:rsidRPr="00A27BF1">
        <w:rPr>
          <w:rFonts w:eastAsia="KaiTi"/>
          <w:iCs/>
          <w:sz w:val="24"/>
          <w:szCs w:val="24"/>
          <w:lang w:val="zh-CN" w:eastAsia="zh-CN"/>
        </w:rPr>
        <w:t>表示注意到</w:t>
      </w:r>
      <w:r w:rsidRPr="00A27BF1">
        <w:rPr>
          <w:sz w:val="24"/>
          <w:szCs w:val="24"/>
          <w:lang w:val="zh-CN" w:eastAsia="zh-CN"/>
        </w:rPr>
        <w:t>化学品审查委员会第十三次和第十四次会议工作报告提供的信息</w:t>
      </w:r>
      <w:r w:rsidRPr="00A27BF1">
        <w:rPr>
          <w:rStyle w:val="FootnoteReference"/>
          <w:sz w:val="24"/>
          <w:szCs w:val="24"/>
          <w:lang w:val="zh-CN" w:eastAsia="zh-CN"/>
        </w:rPr>
        <w:footnoteReference w:customMarkFollows="1" w:id="1"/>
        <w:t>1</w:t>
      </w:r>
      <w:r w:rsidRPr="00A27BF1">
        <w:rPr>
          <w:sz w:val="24"/>
          <w:szCs w:val="24"/>
          <w:lang w:val="zh-CN" w:eastAsia="zh-CN"/>
        </w:rPr>
        <w:t>；</w:t>
      </w:r>
      <w:r w:rsidRPr="00A27BF1">
        <w:rPr>
          <w:sz w:val="24"/>
          <w:szCs w:val="24"/>
          <w:lang w:eastAsia="zh-CN"/>
        </w:rPr>
        <w:t xml:space="preserve"> </w:t>
      </w:r>
    </w:p>
    <w:p w:rsidR="006C58BB" w:rsidRPr="00A27BF1" w:rsidRDefault="006C58BB" w:rsidP="006C58BB">
      <w:pPr>
        <w:pStyle w:val="Normalnumber"/>
        <w:widowControl w:val="0"/>
        <w:numPr>
          <w:ilvl w:val="0"/>
          <w:numId w:val="9"/>
        </w:numPr>
        <w:tabs>
          <w:tab w:val="num" w:pos="360"/>
          <w:tab w:val="left" w:pos="2160"/>
        </w:tabs>
        <w:ind w:left="1200" w:firstLine="480"/>
        <w:jc w:val="both"/>
        <w:rPr>
          <w:color w:val="000000"/>
          <w:sz w:val="24"/>
          <w:szCs w:val="24"/>
          <w:lang w:eastAsia="zh-CN"/>
        </w:rPr>
      </w:pPr>
      <w:r w:rsidRPr="00A27BF1">
        <w:rPr>
          <w:rFonts w:eastAsia="KaiTi"/>
          <w:iCs/>
          <w:sz w:val="24"/>
          <w:szCs w:val="24"/>
          <w:lang w:val="zh-CN" w:eastAsia="zh-CN"/>
        </w:rPr>
        <w:t>回顾</w:t>
      </w:r>
      <w:r w:rsidRPr="00A27BF1">
        <w:rPr>
          <w:sz w:val="24"/>
          <w:szCs w:val="24"/>
          <w:lang w:val="zh-CN" w:eastAsia="zh-CN"/>
        </w:rPr>
        <w:t>缔约方在提名专家时，有必要依据化学品审查委员会的职权范围考虑委员会成员的职责</w:t>
      </w:r>
      <w:r w:rsidRPr="00A27BF1">
        <w:rPr>
          <w:rFonts w:hint="eastAsia"/>
          <w:sz w:val="24"/>
          <w:szCs w:val="24"/>
          <w:lang w:val="zh-CN" w:eastAsia="zh-CN"/>
        </w:rPr>
        <w:t>和</w:t>
      </w:r>
      <w:r w:rsidRPr="00A27BF1">
        <w:rPr>
          <w:sz w:val="24"/>
          <w:szCs w:val="24"/>
          <w:lang w:val="zh-CN" w:eastAsia="zh-CN"/>
        </w:rPr>
        <w:t>资格</w:t>
      </w:r>
      <w:r w:rsidRPr="00A27BF1">
        <w:rPr>
          <w:rFonts w:hint="eastAsia"/>
          <w:sz w:val="24"/>
          <w:szCs w:val="24"/>
          <w:lang w:val="zh-CN" w:eastAsia="zh-CN"/>
        </w:rPr>
        <w:t>，</w:t>
      </w:r>
      <w:r w:rsidRPr="00A27BF1">
        <w:rPr>
          <w:sz w:val="24"/>
          <w:szCs w:val="24"/>
          <w:lang w:val="zh-CN" w:eastAsia="zh-CN"/>
        </w:rPr>
        <w:t>及其</w:t>
      </w:r>
      <w:r w:rsidRPr="00A27BF1">
        <w:rPr>
          <w:rFonts w:hint="eastAsia"/>
          <w:sz w:val="24"/>
          <w:szCs w:val="24"/>
          <w:lang w:val="zh-CN" w:eastAsia="zh-CN"/>
        </w:rPr>
        <w:t>需要</w:t>
      </w:r>
      <w:proofErr w:type="gramStart"/>
      <w:r w:rsidRPr="00A27BF1">
        <w:rPr>
          <w:rFonts w:hint="eastAsia"/>
          <w:sz w:val="24"/>
          <w:szCs w:val="24"/>
          <w:lang w:val="zh-CN" w:eastAsia="zh-CN"/>
        </w:rPr>
        <w:t>作出</w:t>
      </w:r>
      <w:proofErr w:type="gramEnd"/>
      <w:r w:rsidRPr="00A27BF1">
        <w:rPr>
          <w:rFonts w:hint="eastAsia"/>
          <w:sz w:val="24"/>
          <w:szCs w:val="24"/>
          <w:lang w:val="zh-CN" w:eastAsia="zh-CN"/>
        </w:rPr>
        <w:t>的</w:t>
      </w:r>
      <w:r w:rsidRPr="00A27BF1">
        <w:rPr>
          <w:sz w:val="24"/>
          <w:szCs w:val="24"/>
          <w:lang w:val="zh-CN" w:eastAsia="zh-CN"/>
        </w:rPr>
        <w:t>承诺；</w:t>
      </w:r>
    </w:p>
    <w:p w:rsidR="006C58BB" w:rsidRPr="00A27BF1" w:rsidRDefault="006C58BB" w:rsidP="006C58BB">
      <w:pPr>
        <w:pStyle w:val="Normalnumber"/>
        <w:numPr>
          <w:ilvl w:val="0"/>
          <w:numId w:val="9"/>
        </w:numPr>
        <w:tabs>
          <w:tab w:val="num" w:pos="360"/>
          <w:tab w:val="left" w:pos="2160"/>
        </w:tabs>
        <w:ind w:left="1200" w:firstLine="480"/>
        <w:jc w:val="both"/>
        <w:rPr>
          <w:sz w:val="24"/>
          <w:szCs w:val="24"/>
        </w:rPr>
      </w:pPr>
      <w:proofErr w:type="spellStart"/>
      <w:r w:rsidRPr="00A27BF1">
        <w:rPr>
          <w:rFonts w:eastAsia="KaiTi"/>
          <w:iCs/>
          <w:sz w:val="24"/>
          <w:szCs w:val="24"/>
          <w:lang w:val="zh-CN"/>
        </w:rPr>
        <w:t>确认</w:t>
      </w:r>
      <w:r w:rsidRPr="00A27BF1">
        <w:rPr>
          <w:sz w:val="24"/>
          <w:szCs w:val="24"/>
          <w:lang w:val="zh-CN"/>
        </w:rPr>
        <w:t>任命</w:t>
      </w:r>
      <w:r w:rsidRPr="00A27BF1">
        <w:rPr>
          <w:sz w:val="24"/>
          <w:szCs w:val="24"/>
        </w:rPr>
        <w:t>Dinesh</w:t>
      </w:r>
      <w:proofErr w:type="spellEnd"/>
      <w:r w:rsidRPr="00A27BF1">
        <w:rPr>
          <w:sz w:val="24"/>
          <w:szCs w:val="24"/>
        </w:rPr>
        <w:t xml:space="preserve"> </w:t>
      </w:r>
      <w:proofErr w:type="spellStart"/>
      <w:r w:rsidRPr="00A27BF1">
        <w:rPr>
          <w:sz w:val="24"/>
          <w:szCs w:val="24"/>
        </w:rPr>
        <w:t>Runiwal</w:t>
      </w:r>
      <w:r w:rsidRPr="00A27BF1">
        <w:rPr>
          <w:sz w:val="24"/>
          <w:szCs w:val="24"/>
          <w:lang w:val="zh-CN"/>
        </w:rPr>
        <w:t>先生</w:t>
      </w:r>
      <w:r w:rsidRPr="00A27BF1">
        <w:rPr>
          <w:sz w:val="24"/>
          <w:szCs w:val="24"/>
        </w:rPr>
        <w:t>（</w:t>
      </w:r>
      <w:r w:rsidRPr="00A27BF1">
        <w:rPr>
          <w:sz w:val="24"/>
          <w:szCs w:val="24"/>
          <w:lang w:val="zh-CN"/>
        </w:rPr>
        <w:t>印度</w:t>
      </w:r>
      <w:r w:rsidRPr="00A27BF1">
        <w:rPr>
          <w:sz w:val="24"/>
          <w:szCs w:val="24"/>
        </w:rPr>
        <w:t>）</w:t>
      </w:r>
      <w:r w:rsidRPr="00A27BF1">
        <w:rPr>
          <w:sz w:val="24"/>
          <w:szCs w:val="24"/>
          <w:lang w:val="zh-CN"/>
        </w:rPr>
        <w:t>接替</w:t>
      </w:r>
      <w:r w:rsidRPr="00A27BF1">
        <w:rPr>
          <w:sz w:val="24"/>
          <w:szCs w:val="24"/>
        </w:rPr>
        <w:t>Manoj</w:t>
      </w:r>
      <w:proofErr w:type="spellEnd"/>
      <w:r w:rsidRPr="00A27BF1">
        <w:rPr>
          <w:sz w:val="24"/>
          <w:szCs w:val="24"/>
        </w:rPr>
        <w:t xml:space="preserve"> Kumar </w:t>
      </w:r>
      <w:proofErr w:type="spellStart"/>
      <w:r w:rsidRPr="00A27BF1">
        <w:rPr>
          <w:sz w:val="24"/>
          <w:szCs w:val="24"/>
        </w:rPr>
        <w:t>Gangeya</w:t>
      </w:r>
      <w:r w:rsidRPr="00A27BF1">
        <w:rPr>
          <w:sz w:val="24"/>
          <w:szCs w:val="24"/>
          <w:lang w:val="zh-CN"/>
        </w:rPr>
        <w:t>先生以及</w:t>
      </w:r>
      <w:r w:rsidRPr="00A27BF1">
        <w:rPr>
          <w:sz w:val="24"/>
          <w:szCs w:val="24"/>
        </w:rPr>
        <w:t>Simon</w:t>
      </w:r>
      <w:proofErr w:type="spellEnd"/>
      <w:r w:rsidRPr="00A27BF1">
        <w:rPr>
          <w:sz w:val="24"/>
          <w:szCs w:val="24"/>
        </w:rPr>
        <w:t xml:space="preserve"> </w:t>
      </w:r>
      <w:proofErr w:type="spellStart"/>
      <w:r w:rsidRPr="00A27BF1">
        <w:rPr>
          <w:sz w:val="24"/>
          <w:szCs w:val="24"/>
        </w:rPr>
        <w:t>Hoy</w:t>
      </w:r>
      <w:r w:rsidRPr="00A27BF1">
        <w:rPr>
          <w:sz w:val="24"/>
          <w:szCs w:val="24"/>
          <w:lang w:val="zh-CN"/>
        </w:rPr>
        <w:t>先生</w:t>
      </w:r>
      <w:r w:rsidRPr="00A27BF1">
        <w:rPr>
          <w:sz w:val="24"/>
          <w:szCs w:val="24"/>
        </w:rPr>
        <w:t>（</w:t>
      </w:r>
      <w:r w:rsidRPr="00A27BF1">
        <w:rPr>
          <w:sz w:val="24"/>
          <w:szCs w:val="24"/>
          <w:lang w:val="zh-CN"/>
        </w:rPr>
        <w:t>大不列颠及北爱尔兰联合王国</w:t>
      </w:r>
      <w:r w:rsidRPr="00A27BF1">
        <w:rPr>
          <w:sz w:val="24"/>
          <w:szCs w:val="24"/>
        </w:rPr>
        <w:t>）</w:t>
      </w:r>
      <w:r w:rsidRPr="00A27BF1">
        <w:rPr>
          <w:sz w:val="24"/>
          <w:szCs w:val="24"/>
          <w:lang w:val="zh-CN"/>
        </w:rPr>
        <w:t>接替</w:t>
      </w:r>
      <w:r w:rsidRPr="00A27BF1">
        <w:rPr>
          <w:sz w:val="24"/>
          <w:szCs w:val="24"/>
        </w:rPr>
        <w:t>Johanna</w:t>
      </w:r>
      <w:proofErr w:type="spellEnd"/>
      <w:r w:rsidRPr="00A27BF1">
        <w:rPr>
          <w:sz w:val="24"/>
          <w:szCs w:val="24"/>
        </w:rPr>
        <w:t xml:space="preserve"> Pelthola-</w:t>
      </w:r>
      <w:r w:rsidRPr="006712F0">
        <w:rPr>
          <w:spacing w:val="-6"/>
          <w:sz w:val="24"/>
          <w:szCs w:val="24"/>
        </w:rPr>
        <w:t>Thies</w:t>
      </w:r>
      <w:r w:rsidRPr="006712F0">
        <w:rPr>
          <w:rFonts w:hint="eastAsia"/>
          <w:spacing w:val="-6"/>
          <w:sz w:val="24"/>
          <w:szCs w:val="24"/>
          <w:lang w:val="zh-CN"/>
        </w:rPr>
        <w:t>女士担任委员会成员</w:t>
      </w:r>
      <w:r w:rsidRPr="006712F0">
        <w:rPr>
          <w:rFonts w:hint="eastAsia"/>
          <w:spacing w:val="-6"/>
          <w:sz w:val="24"/>
          <w:szCs w:val="24"/>
        </w:rPr>
        <w:t>，</w:t>
      </w:r>
      <w:r w:rsidRPr="006712F0">
        <w:rPr>
          <w:rFonts w:hint="eastAsia"/>
          <w:spacing w:val="-6"/>
          <w:sz w:val="24"/>
          <w:szCs w:val="24"/>
          <w:lang w:val="zh-CN"/>
        </w:rPr>
        <w:t>完成</w:t>
      </w:r>
      <w:r w:rsidRPr="006712F0">
        <w:rPr>
          <w:spacing w:val="-6"/>
          <w:sz w:val="24"/>
          <w:szCs w:val="24"/>
        </w:rPr>
        <w:t>Gangeya</w:t>
      </w:r>
      <w:r w:rsidRPr="006712F0">
        <w:rPr>
          <w:rFonts w:hint="eastAsia"/>
          <w:spacing w:val="-6"/>
          <w:sz w:val="24"/>
          <w:szCs w:val="24"/>
          <w:lang w:val="zh-CN"/>
        </w:rPr>
        <w:t>先生和</w:t>
      </w:r>
      <w:r w:rsidRPr="006712F0">
        <w:rPr>
          <w:spacing w:val="-6"/>
          <w:sz w:val="24"/>
          <w:szCs w:val="24"/>
        </w:rPr>
        <w:t>Pelthola-Thies</w:t>
      </w:r>
      <w:r w:rsidRPr="006712F0">
        <w:rPr>
          <w:rFonts w:hint="eastAsia"/>
          <w:spacing w:val="-6"/>
          <w:sz w:val="24"/>
          <w:szCs w:val="24"/>
          <w:lang w:val="zh-CN"/>
        </w:rPr>
        <w:t>女士的剩余任期</w:t>
      </w:r>
      <w:r w:rsidRPr="006712F0">
        <w:rPr>
          <w:rFonts w:hint="eastAsia"/>
          <w:spacing w:val="-6"/>
          <w:sz w:val="24"/>
          <w:szCs w:val="24"/>
        </w:rPr>
        <w:t>，</w:t>
      </w:r>
      <w:r w:rsidRPr="00A27BF1">
        <w:rPr>
          <w:sz w:val="24"/>
          <w:szCs w:val="24"/>
          <w:lang w:val="zh-CN"/>
        </w:rPr>
        <w:t>即任职至</w:t>
      </w:r>
      <w:r w:rsidRPr="00A27BF1">
        <w:rPr>
          <w:sz w:val="24"/>
          <w:szCs w:val="24"/>
        </w:rPr>
        <w:t>2020</w:t>
      </w:r>
      <w:r w:rsidRPr="00A27BF1">
        <w:rPr>
          <w:sz w:val="24"/>
          <w:szCs w:val="24"/>
          <w:lang w:val="zh-CN"/>
        </w:rPr>
        <w:t>年</w:t>
      </w:r>
      <w:r w:rsidRPr="00A27BF1">
        <w:rPr>
          <w:sz w:val="24"/>
          <w:szCs w:val="24"/>
        </w:rPr>
        <w:t>4</w:t>
      </w:r>
      <w:r w:rsidRPr="00A27BF1">
        <w:rPr>
          <w:sz w:val="24"/>
          <w:szCs w:val="24"/>
          <w:lang w:val="zh-CN"/>
        </w:rPr>
        <w:t>月</w:t>
      </w:r>
      <w:r w:rsidRPr="00A27BF1">
        <w:rPr>
          <w:sz w:val="24"/>
          <w:szCs w:val="24"/>
        </w:rPr>
        <w:t>30</w:t>
      </w:r>
      <w:r w:rsidRPr="00A27BF1">
        <w:rPr>
          <w:sz w:val="24"/>
          <w:szCs w:val="24"/>
          <w:lang w:val="zh-CN"/>
        </w:rPr>
        <w:t>日</w:t>
      </w:r>
      <w:r w:rsidRPr="00A27BF1">
        <w:rPr>
          <w:sz w:val="24"/>
          <w:szCs w:val="24"/>
        </w:rPr>
        <w:t>；</w:t>
      </w:r>
    </w:p>
    <w:p w:rsidR="006C58BB" w:rsidRPr="00A27BF1" w:rsidRDefault="006C58BB" w:rsidP="006C58BB">
      <w:pPr>
        <w:pStyle w:val="Normalnumber"/>
        <w:numPr>
          <w:ilvl w:val="0"/>
          <w:numId w:val="9"/>
        </w:numPr>
        <w:tabs>
          <w:tab w:val="num" w:pos="360"/>
          <w:tab w:val="left" w:pos="2160"/>
        </w:tabs>
        <w:ind w:left="1200" w:firstLine="480"/>
        <w:jc w:val="both"/>
        <w:rPr>
          <w:sz w:val="24"/>
          <w:szCs w:val="24"/>
        </w:rPr>
      </w:pPr>
      <w:proofErr w:type="spellStart"/>
      <w:r w:rsidRPr="006712F0">
        <w:rPr>
          <w:rFonts w:eastAsia="KaiTi" w:hint="eastAsia"/>
          <w:iCs/>
          <w:spacing w:val="-10"/>
          <w:sz w:val="24"/>
          <w:szCs w:val="24"/>
          <w:lang w:val="zh-CN"/>
        </w:rPr>
        <w:t>又确认</w:t>
      </w:r>
      <w:r w:rsidRPr="006712F0">
        <w:rPr>
          <w:rFonts w:hint="eastAsia"/>
          <w:spacing w:val="-10"/>
          <w:sz w:val="24"/>
          <w:szCs w:val="24"/>
          <w:lang w:val="zh-CN"/>
        </w:rPr>
        <w:t>任命</w:t>
      </w:r>
      <w:r w:rsidRPr="006712F0">
        <w:rPr>
          <w:spacing w:val="-10"/>
          <w:sz w:val="24"/>
          <w:szCs w:val="24"/>
        </w:rPr>
        <w:t>Martin</w:t>
      </w:r>
      <w:proofErr w:type="spellEnd"/>
      <w:r w:rsidRPr="006712F0">
        <w:rPr>
          <w:spacing w:val="-10"/>
          <w:sz w:val="24"/>
          <w:szCs w:val="24"/>
        </w:rPr>
        <w:t xml:space="preserve"> </w:t>
      </w:r>
      <w:proofErr w:type="spellStart"/>
      <w:r w:rsidRPr="006712F0">
        <w:rPr>
          <w:spacing w:val="-10"/>
          <w:sz w:val="24"/>
          <w:szCs w:val="24"/>
        </w:rPr>
        <w:t>Lacroix</w:t>
      </w:r>
      <w:r w:rsidRPr="006712F0">
        <w:rPr>
          <w:rFonts w:hint="eastAsia"/>
          <w:spacing w:val="-10"/>
          <w:sz w:val="24"/>
          <w:szCs w:val="24"/>
          <w:lang w:val="zh-CN"/>
        </w:rPr>
        <w:t>先生</w:t>
      </w:r>
      <w:r w:rsidRPr="006712F0">
        <w:rPr>
          <w:rFonts w:hint="eastAsia"/>
          <w:spacing w:val="-10"/>
          <w:sz w:val="24"/>
          <w:szCs w:val="24"/>
        </w:rPr>
        <w:t>（</w:t>
      </w:r>
      <w:r w:rsidRPr="006712F0">
        <w:rPr>
          <w:rFonts w:hint="eastAsia"/>
          <w:spacing w:val="-10"/>
          <w:sz w:val="24"/>
          <w:szCs w:val="24"/>
          <w:lang w:val="zh-CN"/>
        </w:rPr>
        <w:t>加拿大</w:t>
      </w:r>
      <w:r w:rsidRPr="006712F0">
        <w:rPr>
          <w:rFonts w:hint="eastAsia"/>
          <w:spacing w:val="-10"/>
          <w:sz w:val="24"/>
          <w:szCs w:val="24"/>
        </w:rPr>
        <w:t>）</w:t>
      </w:r>
      <w:r w:rsidRPr="006712F0">
        <w:rPr>
          <w:rFonts w:hint="eastAsia"/>
          <w:spacing w:val="-10"/>
          <w:sz w:val="24"/>
          <w:szCs w:val="24"/>
          <w:lang w:val="zh-CN"/>
        </w:rPr>
        <w:t>接替</w:t>
      </w:r>
      <w:r w:rsidRPr="006712F0">
        <w:rPr>
          <w:spacing w:val="-10"/>
          <w:sz w:val="24"/>
          <w:szCs w:val="24"/>
        </w:rPr>
        <w:t>Jeffery</w:t>
      </w:r>
      <w:proofErr w:type="spellEnd"/>
      <w:r w:rsidRPr="006712F0">
        <w:rPr>
          <w:spacing w:val="-10"/>
          <w:sz w:val="24"/>
          <w:szCs w:val="24"/>
        </w:rPr>
        <w:t xml:space="preserve"> </w:t>
      </w:r>
      <w:proofErr w:type="spellStart"/>
      <w:r w:rsidRPr="006712F0">
        <w:rPr>
          <w:spacing w:val="-10"/>
          <w:sz w:val="24"/>
          <w:szCs w:val="24"/>
        </w:rPr>
        <w:t>Goodman</w:t>
      </w:r>
      <w:r w:rsidRPr="006712F0">
        <w:rPr>
          <w:rFonts w:hint="eastAsia"/>
          <w:spacing w:val="-10"/>
          <w:sz w:val="24"/>
          <w:szCs w:val="24"/>
          <w:lang w:val="zh-CN"/>
        </w:rPr>
        <w:t>先生、</w:t>
      </w:r>
      <w:r w:rsidRPr="00CD4799">
        <w:rPr>
          <w:spacing w:val="-6"/>
          <w:sz w:val="24"/>
          <w:szCs w:val="24"/>
        </w:rPr>
        <w:t>Gloria</w:t>
      </w:r>
      <w:proofErr w:type="spellEnd"/>
      <w:r w:rsidRPr="00CD4799">
        <w:rPr>
          <w:spacing w:val="-6"/>
          <w:sz w:val="24"/>
          <w:szCs w:val="24"/>
        </w:rPr>
        <w:t xml:space="preserve"> Judith Venegas </w:t>
      </w:r>
      <w:proofErr w:type="spellStart"/>
      <w:r w:rsidRPr="00CD4799">
        <w:rPr>
          <w:spacing w:val="-6"/>
          <w:sz w:val="24"/>
          <w:szCs w:val="24"/>
        </w:rPr>
        <w:t>Calderón</w:t>
      </w:r>
      <w:r w:rsidRPr="00CD4799">
        <w:rPr>
          <w:spacing w:val="-6"/>
          <w:sz w:val="24"/>
          <w:szCs w:val="24"/>
          <w:lang w:val="zh-CN"/>
        </w:rPr>
        <w:t>女士</w:t>
      </w:r>
      <w:r w:rsidRPr="00CD4799">
        <w:rPr>
          <w:spacing w:val="-6"/>
          <w:sz w:val="24"/>
          <w:szCs w:val="24"/>
        </w:rPr>
        <w:t>（</w:t>
      </w:r>
      <w:r w:rsidRPr="00CD4799">
        <w:rPr>
          <w:spacing w:val="-6"/>
          <w:sz w:val="24"/>
          <w:szCs w:val="24"/>
          <w:lang w:val="zh-CN"/>
        </w:rPr>
        <w:t>厄瓜多尔</w:t>
      </w:r>
      <w:r w:rsidRPr="00CD4799">
        <w:rPr>
          <w:spacing w:val="-6"/>
          <w:sz w:val="24"/>
          <w:szCs w:val="24"/>
        </w:rPr>
        <w:t>）</w:t>
      </w:r>
      <w:r w:rsidRPr="00CD4799">
        <w:rPr>
          <w:spacing w:val="-6"/>
          <w:sz w:val="24"/>
          <w:szCs w:val="24"/>
          <w:lang w:val="zh-CN"/>
        </w:rPr>
        <w:t>接替</w:t>
      </w:r>
      <w:r w:rsidRPr="00CD4799">
        <w:rPr>
          <w:spacing w:val="-6"/>
          <w:sz w:val="24"/>
          <w:szCs w:val="24"/>
        </w:rPr>
        <w:t>Cristina</w:t>
      </w:r>
      <w:proofErr w:type="spellEnd"/>
      <w:r w:rsidRPr="00CD4799">
        <w:rPr>
          <w:spacing w:val="-6"/>
          <w:sz w:val="24"/>
          <w:szCs w:val="24"/>
        </w:rPr>
        <w:t xml:space="preserve"> </w:t>
      </w:r>
      <w:proofErr w:type="spellStart"/>
      <w:r w:rsidRPr="00CD4799">
        <w:rPr>
          <w:spacing w:val="-6"/>
          <w:sz w:val="24"/>
          <w:szCs w:val="24"/>
        </w:rPr>
        <w:t>Salgado</w:t>
      </w:r>
      <w:r w:rsidRPr="00CD4799">
        <w:rPr>
          <w:spacing w:val="-6"/>
          <w:sz w:val="24"/>
          <w:szCs w:val="24"/>
          <w:lang w:val="zh-CN"/>
        </w:rPr>
        <w:t>女士、</w:t>
      </w:r>
      <w:r w:rsidRPr="00A27BF1">
        <w:rPr>
          <w:sz w:val="24"/>
          <w:szCs w:val="24"/>
        </w:rPr>
        <w:t>Kristīne</w:t>
      </w:r>
      <w:proofErr w:type="spellEnd"/>
      <w:r w:rsidRPr="00A27BF1">
        <w:rPr>
          <w:sz w:val="24"/>
          <w:szCs w:val="24"/>
        </w:rPr>
        <w:t xml:space="preserve"> </w:t>
      </w:r>
      <w:proofErr w:type="spellStart"/>
      <w:r w:rsidRPr="00A27BF1">
        <w:rPr>
          <w:sz w:val="24"/>
          <w:szCs w:val="24"/>
        </w:rPr>
        <w:t>Kazerovska</w:t>
      </w:r>
      <w:r w:rsidRPr="00A27BF1">
        <w:rPr>
          <w:sz w:val="24"/>
          <w:szCs w:val="24"/>
          <w:lang w:val="zh-CN"/>
        </w:rPr>
        <w:t>女士</w:t>
      </w:r>
      <w:r w:rsidRPr="00A27BF1">
        <w:rPr>
          <w:sz w:val="24"/>
          <w:szCs w:val="24"/>
        </w:rPr>
        <w:t>（</w:t>
      </w:r>
      <w:r w:rsidRPr="00A27BF1">
        <w:rPr>
          <w:sz w:val="24"/>
          <w:szCs w:val="24"/>
          <w:lang w:val="zh-CN"/>
        </w:rPr>
        <w:t>拉脱维亚</w:t>
      </w:r>
      <w:r w:rsidRPr="00A27BF1">
        <w:rPr>
          <w:sz w:val="24"/>
          <w:szCs w:val="24"/>
        </w:rPr>
        <w:t>）</w:t>
      </w:r>
      <w:r w:rsidRPr="00A27BF1">
        <w:rPr>
          <w:sz w:val="24"/>
          <w:szCs w:val="24"/>
          <w:lang w:val="zh-CN"/>
        </w:rPr>
        <w:t>接替</w:t>
      </w:r>
      <w:r w:rsidRPr="00A27BF1">
        <w:rPr>
          <w:sz w:val="24"/>
          <w:szCs w:val="24"/>
        </w:rPr>
        <w:t>Līga</w:t>
      </w:r>
      <w:proofErr w:type="spellEnd"/>
      <w:r w:rsidRPr="00A27BF1">
        <w:rPr>
          <w:sz w:val="24"/>
          <w:szCs w:val="24"/>
        </w:rPr>
        <w:t xml:space="preserve"> </w:t>
      </w:r>
      <w:proofErr w:type="spellStart"/>
      <w:r w:rsidRPr="00A27BF1">
        <w:rPr>
          <w:sz w:val="24"/>
          <w:szCs w:val="24"/>
        </w:rPr>
        <w:t>Rubene</w:t>
      </w:r>
      <w:r w:rsidRPr="00A27BF1">
        <w:rPr>
          <w:sz w:val="24"/>
          <w:szCs w:val="24"/>
          <w:lang w:val="zh-CN"/>
        </w:rPr>
        <w:t>女士、</w:t>
      </w:r>
      <w:r w:rsidRPr="00A27BF1">
        <w:rPr>
          <w:sz w:val="24"/>
          <w:szCs w:val="24"/>
        </w:rPr>
        <w:t>Muhammad</w:t>
      </w:r>
      <w:proofErr w:type="spellEnd"/>
      <w:r w:rsidRPr="00A27BF1">
        <w:rPr>
          <w:sz w:val="24"/>
          <w:szCs w:val="24"/>
        </w:rPr>
        <w:t xml:space="preserve"> Shakeel </w:t>
      </w:r>
      <w:proofErr w:type="spellStart"/>
      <w:r w:rsidRPr="00A27BF1">
        <w:rPr>
          <w:sz w:val="24"/>
          <w:szCs w:val="24"/>
        </w:rPr>
        <w:t>Malik</w:t>
      </w:r>
      <w:r w:rsidRPr="00A27BF1">
        <w:rPr>
          <w:sz w:val="24"/>
          <w:szCs w:val="24"/>
          <w:lang w:val="zh-CN"/>
        </w:rPr>
        <w:t>先生</w:t>
      </w:r>
      <w:r w:rsidRPr="00A27BF1">
        <w:rPr>
          <w:sz w:val="24"/>
          <w:szCs w:val="24"/>
        </w:rPr>
        <w:t>（</w:t>
      </w:r>
      <w:r w:rsidRPr="00A27BF1">
        <w:rPr>
          <w:sz w:val="24"/>
          <w:szCs w:val="24"/>
          <w:lang w:val="zh-CN"/>
        </w:rPr>
        <w:t>巴基斯坦</w:t>
      </w:r>
      <w:r w:rsidRPr="00A27BF1">
        <w:rPr>
          <w:sz w:val="24"/>
          <w:szCs w:val="24"/>
        </w:rPr>
        <w:t>）</w:t>
      </w:r>
      <w:r w:rsidRPr="00A27BF1">
        <w:rPr>
          <w:sz w:val="24"/>
          <w:szCs w:val="24"/>
          <w:lang w:val="zh-CN"/>
        </w:rPr>
        <w:t>接替</w:t>
      </w:r>
      <w:r w:rsidRPr="00A27BF1">
        <w:rPr>
          <w:sz w:val="24"/>
          <w:szCs w:val="24"/>
        </w:rPr>
        <w:t>Iftikhar</w:t>
      </w:r>
      <w:bookmarkStart w:id="0" w:name="_Hlk536187756"/>
      <w:r w:rsidRPr="00A27BF1">
        <w:rPr>
          <w:sz w:val="24"/>
          <w:szCs w:val="24"/>
        </w:rPr>
        <w:t>-</w:t>
      </w:r>
      <w:bookmarkEnd w:id="0"/>
      <w:r w:rsidRPr="00A27BF1">
        <w:rPr>
          <w:sz w:val="24"/>
          <w:szCs w:val="24"/>
        </w:rPr>
        <w:t>ul-Hassan</w:t>
      </w:r>
      <w:proofErr w:type="spellEnd"/>
      <w:r w:rsidRPr="00A27BF1">
        <w:rPr>
          <w:sz w:val="24"/>
          <w:szCs w:val="24"/>
        </w:rPr>
        <w:t xml:space="preserve"> Shah </w:t>
      </w:r>
      <w:proofErr w:type="spellStart"/>
      <w:r w:rsidRPr="00A27BF1">
        <w:rPr>
          <w:sz w:val="24"/>
          <w:szCs w:val="24"/>
        </w:rPr>
        <w:t>Gilani</w:t>
      </w:r>
      <w:r w:rsidRPr="00A27BF1">
        <w:rPr>
          <w:rFonts w:hint="eastAsia"/>
          <w:sz w:val="24"/>
          <w:szCs w:val="24"/>
          <w:lang w:val="zh-CN"/>
        </w:rPr>
        <w:t>先生</w:t>
      </w:r>
      <w:r w:rsidRPr="00A27BF1">
        <w:rPr>
          <w:rFonts w:hint="eastAsia"/>
          <w:sz w:val="24"/>
          <w:szCs w:val="24"/>
        </w:rPr>
        <w:t>，</w:t>
      </w:r>
      <w:r w:rsidRPr="00A27BF1">
        <w:rPr>
          <w:rFonts w:hint="eastAsia"/>
          <w:sz w:val="24"/>
          <w:szCs w:val="24"/>
          <w:lang w:val="zh-CN"/>
        </w:rPr>
        <w:t>以及</w:t>
      </w:r>
      <w:r w:rsidRPr="00CD4799">
        <w:rPr>
          <w:spacing w:val="-4"/>
          <w:sz w:val="24"/>
          <w:szCs w:val="24"/>
        </w:rPr>
        <w:t>Agnieszka</w:t>
      </w:r>
      <w:proofErr w:type="spellEnd"/>
      <w:r w:rsidRPr="00CD4799">
        <w:rPr>
          <w:spacing w:val="-4"/>
          <w:sz w:val="24"/>
          <w:szCs w:val="24"/>
        </w:rPr>
        <w:t xml:space="preserve"> </w:t>
      </w:r>
      <w:proofErr w:type="spellStart"/>
      <w:r w:rsidRPr="00CD4799">
        <w:rPr>
          <w:spacing w:val="-4"/>
          <w:sz w:val="24"/>
          <w:szCs w:val="24"/>
        </w:rPr>
        <w:t>Jankowska</w:t>
      </w:r>
      <w:r w:rsidRPr="00CD4799">
        <w:rPr>
          <w:rFonts w:hint="eastAsia"/>
          <w:spacing w:val="-4"/>
          <w:sz w:val="24"/>
          <w:szCs w:val="24"/>
          <w:lang w:val="zh-CN"/>
        </w:rPr>
        <w:t>女士</w:t>
      </w:r>
      <w:r w:rsidRPr="00CD4799">
        <w:rPr>
          <w:rFonts w:hint="eastAsia"/>
          <w:spacing w:val="-4"/>
          <w:sz w:val="24"/>
          <w:szCs w:val="24"/>
        </w:rPr>
        <w:t>（</w:t>
      </w:r>
      <w:r w:rsidRPr="00CD4799">
        <w:rPr>
          <w:rFonts w:hint="eastAsia"/>
          <w:spacing w:val="-4"/>
          <w:sz w:val="24"/>
          <w:szCs w:val="24"/>
          <w:lang w:val="zh-CN"/>
        </w:rPr>
        <w:t>波兰</w:t>
      </w:r>
      <w:r w:rsidRPr="00CD4799">
        <w:rPr>
          <w:rFonts w:hint="eastAsia"/>
          <w:spacing w:val="-4"/>
          <w:sz w:val="24"/>
          <w:szCs w:val="24"/>
        </w:rPr>
        <w:t>）</w:t>
      </w:r>
      <w:r w:rsidRPr="00CD4799">
        <w:rPr>
          <w:spacing w:val="-4"/>
          <w:sz w:val="24"/>
          <w:szCs w:val="24"/>
          <w:lang w:val="zh-CN"/>
        </w:rPr>
        <w:t>接替</w:t>
      </w:r>
      <w:r w:rsidRPr="00CD4799">
        <w:rPr>
          <w:spacing w:val="-4"/>
          <w:sz w:val="24"/>
          <w:szCs w:val="24"/>
        </w:rPr>
        <w:t>Dorota</w:t>
      </w:r>
      <w:proofErr w:type="spellEnd"/>
      <w:r w:rsidRPr="00CD4799">
        <w:rPr>
          <w:spacing w:val="-4"/>
          <w:sz w:val="24"/>
          <w:szCs w:val="24"/>
        </w:rPr>
        <w:t xml:space="preserve"> Wiaderna</w:t>
      </w:r>
      <w:r w:rsidRPr="00CD4799">
        <w:rPr>
          <w:spacing w:val="-4"/>
          <w:sz w:val="24"/>
          <w:szCs w:val="24"/>
          <w:lang w:val="zh-CN"/>
        </w:rPr>
        <w:t>女士担任委员会成员</w:t>
      </w:r>
      <w:r w:rsidRPr="00CD4799">
        <w:rPr>
          <w:spacing w:val="-4"/>
          <w:sz w:val="24"/>
          <w:szCs w:val="24"/>
        </w:rPr>
        <w:t>，</w:t>
      </w:r>
      <w:r w:rsidRPr="00A27BF1">
        <w:rPr>
          <w:sz w:val="24"/>
          <w:szCs w:val="24"/>
          <w:lang w:val="zh-CN"/>
        </w:rPr>
        <w:t>完成</w:t>
      </w:r>
      <w:r w:rsidRPr="00A27BF1">
        <w:rPr>
          <w:rFonts w:hint="eastAsia"/>
          <w:sz w:val="24"/>
          <w:szCs w:val="24"/>
        </w:rPr>
        <w:t>Goodman</w:t>
      </w:r>
      <w:r w:rsidRPr="00A27BF1">
        <w:rPr>
          <w:rFonts w:hint="eastAsia"/>
          <w:sz w:val="24"/>
          <w:szCs w:val="24"/>
          <w:lang w:val="zh-CN"/>
        </w:rPr>
        <w:t>先生、</w:t>
      </w:r>
      <w:r w:rsidRPr="00A27BF1">
        <w:rPr>
          <w:sz w:val="24"/>
          <w:szCs w:val="24"/>
        </w:rPr>
        <w:t>Salgado</w:t>
      </w:r>
      <w:r w:rsidRPr="00A27BF1">
        <w:rPr>
          <w:sz w:val="24"/>
          <w:szCs w:val="24"/>
          <w:lang w:val="zh-CN"/>
        </w:rPr>
        <w:t>女士、</w:t>
      </w:r>
      <w:r w:rsidRPr="00A27BF1">
        <w:rPr>
          <w:sz w:val="24"/>
          <w:szCs w:val="24"/>
        </w:rPr>
        <w:t>Rubene</w:t>
      </w:r>
      <w:r w:rsidRPr="00A27BF1">
        <w:rPr>
          <w:sz w:val="24"/>
          <w:szCs w:val="24"/>
          <w:lang w:val="zh-CN"/>
        </w:rPr>
        <w:t>女士、</w:t>
      </w:r>
      <w:r w:rsidRPr="00A27BF1">
        <w:rPr>
          <w:sz w:val="24"/>
          <w:szCs w:val="24"/>
        </w:rPr>
        <w:t>Gilani</w:t>
      </w:r>
      <w:r w:rsidRPr="00A27BF1">
        <w:rPr>
          <w:sz w:val="24"/>
          <w:szCs w:val="24"/>
          <w:lang w:val="zh-CN"/>
        </w:rPr>
        <w:t>先生和</w:t>
      </w:r>
      <w:r w:rsidRPr="00A27BF1">
        <w:rPr>
          <w:sz w:val="24"/>
          <w:szCs w:val="24"/>
        </w:rPr>
        <w:t>Wiaderna</w:t>
      </w:r>
      <w:r w:rsidRPr="00A27BF1">
        <w:rPr>
          <w:sz w:val="24"/>
          <w:szCs w:val="24"/>
          <w:lang w:val="zh-CN"/>
        </w:rPr>
        <w:t>女士的剩余任期</w:t>
      </w:r>
      <w:r w:rsidRPr="00A27BF1">
        <w:rPr>
          <w:sz w:val="24"/>
          <w:szCs w:val="24"/>
        </w:rPr>
        <w:t>，</w:t>
      </w:r>
      <w:r w:rsidRPr="00A27BF1">
        <w:rPr>
          <w:sz w:val="24"/>
          <w:szCs w:val="24"/>
          <w:lang w:val="zh-CN"/>
        </w:rPr>
        <w:t>即任职至</w:t>
      </w:r>
      <w:r w:rsidRPr="00A27BF1">
        <w:rPr>
          <w:sz w:val="24"/>
          <w:szCs w:val="24"/>
        </w:rPr>
        <w:t>2022</w:t>
      </w:r>
      <w:r w:rsidRPr="00A27BF1">
        <w:rPr>
          <w:sz w:val="24"/>
          <w:szCs w:val="24"/>
          <w:lang w:val="zh-CN"/>
        </w:rPr>
        <w:t>年</w:t>
      </w:r>
      <w:r w:rsidRPr="00A27BF1">
        <w:rPr>
          <w:sz w:val="24"/>
          <w:szCs w:val="24"/>
        </w:rPr>
        <w:t>4</w:t>
      </w:r>
      <w:r w:rsidRPr="00A27BF1">
        <w:rPr>
          <w:sz w:val="24"/>
          <w:szCs w:val="24"/>
          <w:lang w:val="zh-CN"/>
        </w:rPr>
        <w:t>月</w:t>
      </w:r>
      <w:r w:rsidRPr="00A27BF1">
        <w:rPr>
          <w:sz w:val="24"/>
          <w:szCs w:val="24"/>
        </w:rPr>
        <w:t>30</w:t>
      </w:r>
      <w:r w:rsidRPr="00A27BF1">
        <w:rPr>
          <w:sz w:val="24"/>
          <w:szCs w:val="24"/>
          <w:lang w:val="zh-CN"/>
        </w:rPr>
        <w:t>日</w:t>
      </w:r>
      <w:r w:rsidRPr="00A27BF1">
        <w:rPr>
          <w:sz w:val="24"/>
          <w:szCs w:val="24"/>
        </w:rPr>
        <w:t>；</w:t>
      </w:r>
      <w:r w:rsidRPr="00A27BF1">
        <w:rPr>
          <w:rFonts w:hint="eastAsia"/>
          <w:sz w:val="24"/>
          <w:szCs w:val="24"/>
          <w:lang w:eastAsia="zh-CN"/>
        </w:rPr>
        <w:t xml:space="preserve"> </w:t>
      </w:r>
    </w:p>
    <w:p w:rsidR="006C58BB" w:rsidRPr="00A27BF1" w:rsidRDefault="006C58BB" w:rsidP="006C58BB">
      <w:pPr>
        <w:pStyle w:val="Normalnumber"/>
        <w:keepNext/>
        <w:keepLines/>
        <w:widowControl w:val="0"/>
        <w:numPr>
          <w:ilvl w:val="0"/>
          <w:numId w:val="9"/>
        </w:numPr>
        <w:tabs>
          <w:tab w:val="num" w:pos="360"/>
          <w:tab w:val="left" w:pos="2160"/>
        </w:tabs>
        <w:ind w:left="1200" w:firstLine="480"/>
        <w:jc w:val="both"/>
        <w:rPr>
          <w:sz w:val="24"/>
          <w:szCs w:val="24"/>
          <w:lang w:eastAsia="zh-CN"/>
        </w:rPr>
      </w:pPr>
      <w:r w:rsidRPr="00A27BF1">
        <w:rPr>
          <w:rFonts w:eastAsia="KaiTi"/>
          <w:iCs/>
          <w:sz w:val="24"/>
          <w:szCs w:val="24"/>
          <w:lang w:val="zh-CN" w:eastAsia="zh-CN"/>
        </w:rPr>
        <w:t>任命</w:t>
      </w:r>
      <w:r w:rsidRPr="00A27BF1">
        <w:rPr>
          <w:sz w:val="24"/>
          <w:szCs w:val="24"/>
          <w:lang w:val="zh-CN" w:eastAsia="zh-CN"/>
        </w:rPr>
        <w:t>本决定附件所列</w:t>
      </w:r>
      <w:r w:rsidRPr="00A27BF1">
        <w:rPr>
          <w:sz w:val="24"/>
          <w:szCs w:val="24"/>
          <w:lang w:val="zh-CN" w:eastAsia="zh-CN"/>
        </w:rPr>
        <w:t>14</w:t>
      </w:r>
      <w:r w:rsidRPr="00A27BF1">
        <w:rPr>
          <w:sz w:val="24"/>
          <w:szCs w:val="24"/>
          <w:lang w:val="zh-CN" w:eastAsia="zh-CN"/>
        </w:rPr>
        <w:t>位指定专家担任委员会成员，任期为</w:t>
      </w:r>
      <w:r w:rsidRPr="00A27BF1">
        <w:rPr>
          <w:sz w:val="24"/>
          <w:szCs w:val="24"/>
          <w:lang w:val="zh-CN" w:eastAsia="zh-CN"/>
        </w:rPr>
        <w:t>2020</w:t>
      </w:r>
      <w:r w:rsidRPr="00A27BF1">
        <w:rPr>
          <w:sz w:val="24"/>
          <w:szCs w:val="24"/>
          <w:lang w:val="zh-CN" w:eastAsia="zh-CN"/>
        </w:rPr>
        <w:t>年</w:t>
      </w:r>
      <w:r w:rsidRPr="00A27BF1">
        <w:rPr>
          <w:sz w:val="24"/>
          <w:szCs w:val="24"/>
          <w:lang w:val="zh-CN" w:eastAsia="zh-CN"/>
        </w:rPr>
        <w:t>5</w:t>
      </w:r>
      <w:r w:rsidRPr="00A27BF1">
        <w:rPr>
          <w:sz w:val="24"/>
          <w:szCs w:val="24"/>
          <w:lang w:val="zh-CN" w:eastAsia="zh-CN"/>
        </w:rPr>
        <w:t>月</w:t>
      </w:r>
      <w:r w:rsidRPr="00A27BF1">
        <w:rPr>
          <w:sz w:val="24"/>
          <w:szCs w:val="24"/>
          <w:lang w:val="zh-CN" w:eastAsia="zh-CN"/>
        </w:rPr>
        <w:t>1</w:t>
      </w:r>
      <w:r w:rsidRPr="00A27BF1">
        <w:rPr>
          <w:sz w:val="24"/>
          <w:szCs w:val="24"/>
          <w:lang w:val="zh-CN" w:eastAsia="zh-CN"/>
        </w:rPr>
        <w:t>日至</w:t>
      </w:r>
      <w:r w:rsidRPr="00A27BF1">
        <w:rPr>
          <w:sz w:val="24"/>
          <w:szCs w:val="24"/>
          <w:lang w:val="zh-CN" w:eastAsia="zh-CN"/>
        </w:rPr>
        <w:t>2024</w:t>
      </w:r>
      <w:r w:rsidRPr="00A27BF1">
        <w:rPr>
          <w:sz w:val="24"/>
          <w:szCs w:val="24"/>
          <w:lang w:val="zh-CN" w:eastAsia="zh-CN"/>
        </w:rPr>
        <w:t>年</w:t>
      </w:r>
      <w:r w:rsidRPr="00A27BF1">
        <w:rPr>
          <w:sz w:val="24"/>
          <w:szCs w:val="24"/>
          <w:lang w:val="zh-CN" w:eastAsia="zh-CN"/>
        </w:rPr>
        <w:t>4</w:t>
      </w:r>
      <w:r w:rsidRPr="00A27BF1">
        <w:rPr>
          <w:sz w:val="24"/>
          <w:szCs w:val="24"/>
          <w:lang w:val="zh-CN" w:eastAsia="zh-CN"/>
        </w:rPr>
        <w:t>月</w:t>
      </w:r>
      <w:r w:rsidRPr="00A27BF1">
        <w:rPr>
          <w:sz w:val="24"/>
          <w:szCs w:val="24"/>
          <w:lang w:val="zh-CN" w:eastAsia="zh-CN"/>
        </w:rPr>
        <w:t>30</w:t>
      </w:r>
      <w:r w:rsidRPr="00A27BF1">
        <w:rPr>
          <w:sz w:val="24"/>
          <w:szCs w:val="24"/>
          <w:lang w:val="zh-CN" w:eastAsia="zh-CN"/>
        </w:rPr>
        <w:t>日；</w:t>
      </w:r>
      <w:r w:rsidRPr="00785470">
        <w:rPr>
          <w:rStyle w:val="FootnoteReference"/>
          <w:sz w:val="24"/>
          <w:szCs w:val="24"/>
          <w:lang w:val="zh-CN" w:eastAsia="zh-CN"/>
        </w:rPr>
        <w:footnoteReference w:customMarkFollows="1" w:id="2"/>
        <w:t>2</w:t>
      </w:r>
    </w:p>
    <w:p w:rsidR="006C58BB" w:rsidRPr="00A27BF1" w:rsidRDefault="006C58BB" w:rsidP="006C58BB">
      <w:pPr>
        <w:pStyle w:val="Normalnumber"/>
        <w:keepNext/>
        <w:keepLines/>
        <w:widowControl w:val="0"/>
        <w:numPr>
          <w:ilvl w:val="0"/>
          <w:numId w:val="9"/>
        </w:numPr>
        <w:tabs>
          <w:tab w:val="num" w:pos="360"/>
          <w:tab w:val="left" w:pos="2160"/>
        </w:tabs>
        <w:ind w:left="1200" w:firstLine="480"/>
        <w:jc w:val="both"/>
        <w:rPr>
          <w:sz w:val="24"/>
          <w:szCs w:val="24"/>
          <w:lang w:eastAsia="zh-CN"/>
        </w:rPr>
      </w:pPr>
      <w:r w:rsidRPr="00A27BF1">
        <w:rPr>
          <w:rFonts w:eastAsia="KaiTi"/>
          <w:iCs/>
          <w:sz w:val="24"/>
          <w:szCs w:val="24"/>
          <w:lang w:val="zh-CN" w:eastAsia="zh-CN"/>
        </w:rPr>
        <w:t>选举</w:t>
      </w:r>
      <w:r w:rsidRPr="00A27BF1">
        <w:rPr>
          <w:sz w:val="24"/>
          <w:szCs w:val="24"/>
          <w:lang w:val="zh-CN" w:eastAsia="zh-CN"/>
        </w:rPr>
        <w:t>Noluzuko Gwayi</w:t>
      </w:r>
      <w:r w:rsidRPr="00A27BF1">
        <w:rPr>
          <w:sz w:val="24"/>
          <w:szCs w:val="24"/>
          <w:lang w:val="zh-CN" w:eastAsia="zh-CN"/>
        </w:rPr>
        <w:t>女士（南非）为委员会主席；</w:t>
      </w:r>
    </w:p>
    <w:p w:rsidR="006C58BB" w:rsidRPr="00A27BF1" w:rsidRDefault="006C58BB" w:rsidP="006C58BB">
      <w:pPr>
        <w:pStyle w:val="Normalnumber"/>
        <w:widowControl w:val="0"/>
        <w:numPr>
          <w:ilvl w:val="0"/>
          <w:numId w:val="9"/>
        </w:numPr>
        <w:tabs>
          <w:tab w:val="num" w:pos="360"/>
          <w:tab w:val="left" w:pos="2160"/>
        </w:tabs>
        <w:ind w:left="1200" w:firstLine="480"/>
        <w:jc w:val="both"/>
        <w:rPr>
          <w:sz w:val="24"/>
          <w:szCs w:val="24"/>
          <w:lang w:eastAsia="zh-CN"/>
        </w:rPr>
      </w:pPr>
      <w:r w:rsidRPr="00A27BF1">
        <w:rPr>
          <w:rFonts w:ascii="KaiTi" w:eastAsia="KaiTi" w:hAnsi="KaiTi" w:hint="eastAsia"/>
          <w:sz w:val="24"/>
          <w:szCs w:val="24"/>
          <w:lang w:val="zh-CN" w:eastAsia="zh-CN"/>
        </w:rPr>
        <w:t>欢迎</w:t>
      </w:r>
      <w:r w:rsidRPr="00A27BF1">
        <w:rPr>
          <w:sz w:val="24"/>
          <w:szCs w:val="24"/>
          <w:lang w:val="zh-CN" w:eastAsia="zh-CN"/>
        </w:rPr>
        <w:t>秘书处为新成员举办</w:t>
      </w:r>
      <w:r w:rsidRPr="00A27BF1">
        <w:rPr>
          <w:rFonts w:hint="eastAsia"/>
          <w:sz w:val="24"/>
          <w:szCs w:val="24"/>
          <w:lang w:val="zh-CN" w:eastAsia="zh-CN"/>
        </w:rPr>
        <w:t>的情况介绍</w:t>
      </w:r>
      <w:r w:rsidRPr="00A27BF1">
        <w:rPr>
          <w:sz w:val="24"/>
          <w:szCs w:val="24"/>
          <w:lang w:val="zh-CN" w:eastAsia="zh-CN"/>
        </w:rPr>
        <w:t>班，并请秘书处在资源允许的情况下</w:t>
      </w:r>
      <w:r w:rsidRPr="00A27BF1">
        <w:rPr>
          <w:rFonts w:hint="eastAsia"/>
          <w:sz w:val="24"/>
          <w:szCs w:val="24"/>
          <w:lang w:val="zh-CN" w:eastAsia="zh-CN"/>
        </w:rPr>
        <w:t>，在技术援助计划的框架内为新成员和现有成员设立并开展培训活动</w:t>
      </w:r>
      <w:r w:rsidRPr="00A27BF1">
        <w:rPr>
          <w:sz w:val="24"/>
          <w:szCs w:val="24"/>
          <w:lang w:val="zh-CN" w:eastAsia="zh-CN"/>
        </w:rPr>
        <w:t>，</w:t>
      </w:r>
      <w:r w:rsidRPr="00A27BF1">
        <w:rPr>
          <w:rFonts w:hint="eastAsia"/>
          <w:sz w:val="24"/>
          <w:szCs w:val="24"/>
          <w:lang w:val="zh-CN" w:eastAsia="zh-CN"/>
        </w:rPr>
        <w:t>为此应考虑采用各种技术和信息渠道来提供培训（包括讲习班和电子学习工具等），</w:t>
      </w:r>
      <w:r w:rsidRPr="00A27BF1">
        <w:rPr>
          <w:sz w:val="24"/>
          <w:szCs w:val="24"/>
          <w:lang w:val="zh-CN" w:eastAsia="zh-CN"/>
        </w:rPr>
        <w:t>并向缔约方大会第十次会议报告</w:t>
      </w:r>
      <w:r w:rsidRPr="00A27BF1">
        <w:rPr>
          <w:rFonts w:hint="eastAsia"/>
          <w:sz w:val="24"/>
          <w:szCs w:val="24"/>
          <w:lang w:val="zh-CN" w:eastAsia="zh-CN"/>
        </w:rPr>
        <w:t>培训</w:t>
      </w:r>
      <w:r w:rsidRPr="00A27BF1">
        <w:rPr>
          <w:sz w:val="24"/>
          <w:szCs w:val="24"/>
          <w:lang w:val="zh-CN" w:eastAsia="zh-CN"/>
        </w:rPr>
        <w:t>活动的</w:t>
      </w:r>
      <w:r w:rsidRPr="00A27BF1">
        <w:rPr>
          <w:rFonts w:hint="eastAsia"/>
          <w:sz w:val="24"/>
          <w:szCs w:val="24"/>
          <w:lang w:val="zh-CN" w:eastAsia="zh-CN"/>
        </w:rPr>
        <w:t>成</w:t>
      </w:r>
      <w:r w:rsidRPr="00A27BF1">
        <w:rPr>
          <w:sz w:val="24"/>
          <w:szCs w:val="24"/>
          <w:lang w:val="zh-CN" w:eastAsia="zh-CN"/>
        </w:rPr>
        <w:t>果；</w:t>
      </w:r>
    </w:p>
    <w:p w:rsidR="006C58BB" w:rsidRPr="00A27BF1" w:rsidRDefault="006C58BB" w:rsidP="006C58BB">
      <w:pPr>
        <w:pStyle w:val="Normalnumber"/>
        <w:widowControl w:val="0"/>
        <w:numPr>
          <w:ilvl w:val="0"/>
          <w:numId w:val="9"/>
        </w:numPr>
        <w:tabs>
          <w:tab w:val="num" w:pos="360"/>
          <w:tab w:val="left" w:pos="2160"/>
        </w:tabs>
        <w:ind w:left="1200" w:firstLine="480"/>
        <w:jc w:val="both"/>
        <w:rPr>
          <w:sz w:val="24"/>
          <w:szCs w:val="24"/>
          <w:lang w:eastAsia="zh-CN"/>
        </w:rPr>
      </w:pPr>
      <w:r w:rsidRPr="00A27BF1">
        <w:rPr>
          <w:rFonts w:ascii="KaiTi" w:eastAsia="KaiTi" w:hAnsi="KaiTi" w:hint="eastAsia"/>
          <w:sz w:val="24"/>
          <w:szCs w:val="24"/>
          <w:lang w:val="zh-CN" w:eastAsia="zh-CN"/>
        </w:rPr>
        <w:t>又欢迎</w:t>
      </w:r>
      <w:r w:rsidRPr="00A27BF1">
        <w:rPr>
          <w:rFonts w:hint="eastAsia"/>
          <w:sz w:val="24"/>
          <w:szCs w:val="24"/>
          <w:lang w:val="zh-CN" w:eastAsia="zh-CN"/>
        </w:rPr>
        <w:t>秘书处在</w:t>
      </w:r>
      <w:r w:rsidRPr="00A27BF1">
        <w:rPr>
          <w:iCs/>
          <w:sz w:val="24"/>
          <w:szCs w:val="24"/>
          <w:lang w:eastAsia="zh-CN"/>
        </w:rPr>
        <w:t>UNEP/FAO/RC/COP.9/INF/18</w:t>
      </w:r>
      <w:r w:rsidRPr="00A27BF1">
        <w:rPr>
          <w:rFonts w:hint="eastAsia"/>
          <w:iCs/>
          <w:sz w:val="24"/>
          <w:szCs w:val="24"/>
          <w:lang w:eastAsia="zh-CN"/>
        </w:rPr>
        <w:t>号文件中提出的建议，即提高化学品审查委员会进程的参与度、开放性和透明度；</w:t>
      </w:r>
    </w:p>
    <w:p w:rsidR="006C58BB" w:rsidRPr="00A27BF1" w:rsidRDefault="006C58BB" w:rsidP="006C58BB">
      <w:pPr>
        <w:pStyle w:val="Normalnumber"/>
        <w:widowControl w:val="0"/>
        <w:numPr>
          <w:ilvl w:val="0"/>
          <w:numId w:val="9"/>
        </w:numPr>
        <w:tabs>
          <w:tab w:val="num" w:pos="360"/>
          <w:tab w:val="left" w:pos="2160"/>
        </w:tabs>
        <w:ind w:left="1200" w:firstLine="480"/>
        <w:jc w:val="both"/>
        <w:rPr>
          <w:sz w:val="24"/>
          <w:szCs w:val="24"/>
          <w:lang w:eastAsia="zh-CN"/>
        </w:rPr>
      </w:pPr>
      <w:r w:rsidRPr="00A27BF1">
        <w:rPr>
          <w:rFonts w:eastAsia="KaiTi"/>
          <w:iCs/>
          <w:sz w:val="24"/>
          <w:szCs w:val="24"/>
          <w:lang w:val="zh-CN" w:eastAsia="zh-CN"/>
        </w:rPr>
        <w:t>请</w:t>
      </w:r>
      <w:r w:rsidRPr="00A27BF1">
        <w:rPr>
          <w:sz w:val="24"/>
          <w:szCs w:val="24"/>
          <w:lang w:val="zh-CN" w:eastAsia="zh-CN"/>
        </w:rPr>
        <w:t>秘书处</w:t>
      </w:r>
      <w:r w:rsidRPr="00A27BF1">
        <w:rPr>
          <w:rFonts w:hint="eastAsia"/>
          <w:sz w:val="24"/>
          <w:szCs w:val="24"/>
          <w:lang w:val="zh-CN" w:eastAsia="zh-CN"/>
        </w:rPr>
        <w:t>就载于</w:t>
      </w:r>
      <w:r w:rsidRPr="00A27BF1">
        <w:rPr>
          <w:iCs/>
          <w:sz w:val="24"/>
          <w:szCs w:val="24"/>
          <w:lang w:eastAsia="zh-CN"/>
        </w:rPr>
        <w:t>UNEP/FAO/RC/COP.9/INF/18</w:t>
      </w:r>
      <w:r w:rsidRPr="00A27BF1">
        <w:rPr>
          <w:rFonts w:hint="eastAsia"/>
          <w:iCs/>
          <w:sz w:val="24"/>
          <w:szCs w:val="24"/>
          <w:lang w:eastAsia="zh-CN"/>
        </w:rPr>
        <w:t>号文件的、</w:t>
      </w:r>
      <w:r w:rsidRPr="00A27BF1">
        <w:rPr>
          <w:rFonts w:hint="eastAsia"/>
          <w:sz w:val="24"/>
          <w:szCs w:val="24"/>
          <w:lang w:val="zh-CN" w:eastAsia="zh-CN"/>
        </w:rPr>
        <w:t>提高</w:t>
      </w:r>
      <w:r w:rsidRPr="00A27BF1">
        <w:rPr>
          <w:rFonts w:hint="eastAsia"/>
          <w:iCs/>
          <w:sz w:val="24"/>
          <w:szCs w:val="24"/>
          <w:lang w:eastAsia="zh-CN"/>
        </w:rPr>
        <w:t>化学品审查委员会进程的参与度、开放性和透明度的建议方面的进展情况，向缔约方大会第十次会议报告，并特别注意提高专家、缔约方和观察员参与度的行动；</w:t>
      </w:r>
    </w:p>
    <w:p w:rsidR="006C58BB" w:rsidRPr="00A27BF1" w:rsidRDefault="006C58BB" w:rsidP="006C58BB">
      <w:pPr>
        <w:pStyle w:val="Normalnumber"/>
        <w:widowControl w:val="0"/>
        <w:numPr>
          <w:ilvl w:val="0"/>
          <w:numId w:val="9"/>
        </w:numPr>
        <w:tabs>
          <w:tab w:val="num" w:pos="360"/>
          <w:tab w:val="left" w:pos="2160"/>
        </w:tabs>
        <w:ind w:left="1200" w:firstLine="480"/>
        <w:jc w:val="both"/>
        <w:rPr>
          <w:sz w:val="24"/>
          <w:szCs w:val="24"/>
          <w:lang w:eastAsia="zh-CN"/>
        </w:rPr>
      </w:pPr>
      <w:r w:rsidRPr="00A27BF1">
        <w:rPr>
          <w:rFonts w:eastAsia="KaiTi" w:hint="eastAsia"/>
          <w:iCs/>
          <w:sz w:val="24"/>
          <w:szCs w:val="24"/>
          <w:lang w:val="zh-CN" w:eastAsia="zh-CN"/>
        </w:rPr>
        <w:t>又</w:t>
      </w:r>
      <w:r w:rsidRPr="00A27BF1">
        <w:rPr>
          <w:rFonts w:eastAsia="KaiTi"/>
          <w:iCs/>
          <w:sz w:val="24"/>
          <w:szCs w:val="24"/>
          <w:lang w:val="zh-CN" w:eastAsia="zh-CN"/>
        </w:rPr>
        <w:t>请</w:t>
      </w:r>
      <w:r w:rsidRPr="00A27BF1">
        <w:rPr>
          <w:sz w:val="24"/>
          <w:szCs w:val="24"/>
          <w:lang w:val="zh-CN" w:eastAsia="zh-CN"/>
        </w:rPr>
        <w:t>秘书处在资源允许的情况下翻译《有效参与鹿特丹公约下化学品审查委员会工作的袖珍指南》和《化学品审查委员会工作程序和政策指导手册》。</w:t>
      </w:r>
    </w:p>
    <w:p w:rsidR="006C58BB" w:rsidRPr="00C860F5" w:rsidRDefault="006C58BB" w:rsidP="006C58BB">
      <w:pPr>
        <w:pStyle w:val="Normalnumber"/>
        <w:widowControl w:val="0"/>
        <w:numPr>
          <w:ilvl w:val="0"/>
          <w:numId w:val="0"/>
        </w:numPr>
        <w:spacing w:before="240"/>
        <w:ind w:left="1200"/>
        <w:rPr>
          <w:rFonts w:eastAsia="SimHei"/>
          <w:b/>
          <w:bCs/>
          <w:iCs/>
          <w:sz w:val="32"/>
          <w:szCs w:val="32"/>
          <w:lang w:eastAsia="zh-CN"/>
        </w:rPr>
      </w:pPr>
      <w:bookmarkStart w:id="1" w:name="_GoBack"/>
      <w:bookmarkEnd w:id="1"/>
      <w:r w:rsidRPr="00C860F5">
        <w:rPr>
          <w:rFonts w:eastAsia="SimHei"/>
          <w:b/>
          <w:bCs/>
          <w:sz w:val="32"/>
          <w:szCs w:val="32"/>
          <w:lang w:val="zh-CN" w:eastAsia="zh-CN"/>
        </w:rPr>
        <w:lastRenderedPageBreak/>
        <w:t>RC-9/2</w:t>
      </w:r>
      <w:r w:rsidRPr="00C860F5">
        <w:rPr>
          <w:rFonts w:eastAsia="SimHei"/>
          <w:b/>
          <w:bCs/>
          <w:sz w:val="32"/>
          <w:szCs w:val="32"/>
          <w:lang w:val="zh-CN" w:eastAsia="zh-CN"/>
        </w:rPr>
        <w:t>号决定附件</w:t>
      </w:r>
    </w:p>
    <w:p w:rsidR="006C58BB" w:rsidRPr="00C860F5" w:rsidRDefault="006C58BB" w:rsidP="006C58BB">
      <w:pPr>
        <w:pStyle w:val="Normalnumber"/>
        <w:widowControl w:val="0"/>
        <w:numPr>
          <w:ilvl w:val="0"/>
          <w:numId w:val="0"/>
        </w:numPr>
        <w:spacing w:before="320" w:after="240"/>
        <w:ind w:left="1200"/>
        <w:rPr>
          <w:rFonts w:eastAsia="SimHei"/>
          <w:b/>
          <w:bCs/>
          <w:iCs/>
          <w:sz w:val="32"/>
          <w:szCs w:val="32"/>
          <w:lang w:eastAsia="zh-CN"/>
        </w:rPr>
      </w:pPr>
      <w:r w:rsidRPr="00C860F5">
        <w:rPr>
          <w:rFonts w:eastAsia="SimHei"/>
          <w:b/>
          <w:bCs/>
          <w:sz w:val="32"/>
          <w:szCs w:val="32"/>
          <w:lang w:val="zh-CN" w:eastAsia="zh-CN"/>
        </w:rPr>
        <w:t>缔约方大会第九次会议任命的任期</w:t>
      </w:r>
      <w:r w:rsidRPr="00C860F5">
        <w:rPr>
          <w:rFonts w:eastAsia="SimHei" w:hint="eastAsia"/>
          <w:b/>
          <w:bCs/>
          <w:sz w:val="32"/>
          <w:szCs w:val="32"/>
          <w:lang w:val="zh-CN" w:eastAsia="zh-CN"/>
        </w:rPr>
        <w:t>从</w:t>
      </w:r>
      <w:r w:rsidRPr="00C860F5">
        <w:rPr>
          <w:rFonts w:eastAsia="SimHei"/>
          <w:b/>
          <w:bCs/>
          <w:sz w:val="32"/>
          <w:szCs w:val="32"/>
          <w:lang w:val="zh-CN" w:eastAsia="zh-CN"/>
        </w:rPr>
        <w:t>2020</w:t>
      </w:r>
      <w:r w:rsidRPr="00C860F5">
        <w:rPr>
          <w:rFonts w:eastAsia="SimHei"/>
          <w:b/>
          <w:bCs/>
          <w:sz w:val="32"/>
          <w:szCs w:val="32"/>
          <w:lang w:val="zh-CN" w:eastAsia="zh-CN"/>
        </w:rPr>
        <w:t>年</w:t>
      </w:r>
      <w:r w:rsidRPr="00C860F5">
        <w:rPr>
          <w:rFonts w:eastAsia="SimHei"/>
          <w:b/>
          <w:bCs/>
          <w:sz w:val="32"/>
          <w:szCs w:val="32"/>
          <w:lang w:val="zh-CN" w:eastAsia="zh-CN"/>
        </w:rPr>
        <w:t>5</w:t>
      </w:r>
      <w:r w:rsidRPr="00C860F5">
        <w:rPr>
          <w:rFonts w:eastAsia="SimHei"/>
          <w:b/>
          <w:bCs/>
          <w:sz w:val="32"/>
          <w:szCs w:val="32"/>
          <w:lang w:val="zh-CN" w:eastAsia="zh-CN"/>
        </w:rPr>
        <w:t>月</w:t>
      </w:r>
      <w:r w:rsidRPr="00C860F5">
        <w:rPr>
          <w:rFonts w:eastAsia="SimHei"/>
          <w:b/>
          <w:bCs/>
          <w:sz w:val="32"/>
          <w:szCs w:val="32"/>
          <w:lang w:val="zh-CN" w:eastAsia="zh-CN"/>
        </w:rPr>
        <w:t>1</w:t>
      </w:r>
      <w:r w:rsidRPr="00C860F5">
        <w:rPr>
          <w:rFonts w:eastAsia="SimHei"/>
          <w:b/>
          <w:bCs/>
          <w:sz w:val="32"/>
          <w:szCs w:val="32"/>
          <w:lang w:val="zh-CN" w:eastAsia="zh-CN"/>
        </w:rPr>
        <w:t>日</w:t>
      </w:r>
      <w:r>
        <w:rPr>
          <w:rFonts w:eastAsia="SimHei"/>
          <w:b/>
          <w:bCs/>
          <w:sz w:val="32"/>
          <w:szCs w:val="32"/>
          <w:lang w:val="zh-CN" w:eastAsia="zh-CN"/>
        </w:rPr>
        <w:br/>
      </w:r>
      <w:r w:rsidRPr="00C860F5">
        <w:rPr>
          <w:rFonts w:eastAsia="SimHei" w:hint="eastAsia"/>
          <w:b/>
          <w:bCs/>
          <w:sz w:val="32"/>
          <w:szCs w:val="32"/>
          <w:lang w:val="zh-CN" w:eastAsia="zh-CN"/>
        </w:rPr>
        <w:t>开始</w:t>
      </w:r>
      <w:r w:rsidRPr="00C860F5">
        <w:rPr>
          <w:rFonts w:eastAsia="SimHei"/>
          <w:b/>
          <w:bCs/>
          <w:sz w:val="32"/>
          <w:szCs w:val="32"/>
          <w:lang w:val="zh-CN" w:eastAsia="zh-CN"/>
        </w:rPr>
        <w:t>的化学品审查委员会成员</w:t>
      </w:r>
    </w:p>
    <w:p w:rsidR="006C58BB" w:rsidRPr="00C860F5" w:rsidRDefault="006C58BB" w:rsidP="006C58BB">
      <w:pPr>
        <w:spacing w:line="240" w:lineRule="auto"/>
        <w:ind w:left="2311" w:hanging="1111"/>
        <w:rPr>
          <w:rFonts w:ascii="SimHei" w:eastAsia="SimHei" w:hAnsi="SimHei"/>
          <w:b/>
          <w:bCs/>
          <w:iCs/>
          <w:sz w:val="24"/>
          <w:szCs w:val="24"/>
        </w:rPr>
      </w:pPr>
      <w:r w:rsidRPr="00C860F5">
        <w:rPr>
          <w:rFonts w:ascii="SimHei" w:eastAsia="SimHei" w:hAnsi="SimHei"/>
          <w:b/>
          <w:bCs/>
          <w:sz w:val="24"/>
          <w:szCs w:val="24"/>
          <w:lang w:val="zh-CN"/>
        </w:rPr>
        <w:t>非洲国家</w:t>
      </w:r>
    </w:p>
    <w:p w:rsidR="006C58BB" w:rsidRPr="00C860F5" w:rsidRDefault="006C58BB" w:rsidP="006C58BB">
      <w:pPr>
        <w:tabs>
          <w:tab w:val="clear" w:pos="2948"/>
          <w:tab w:val="left" w:pos="2520"/>
        </w:tabs>
        <w:spacing w:line="240" w:lineRule="auto"/>
        <w:ind w:left="2280" w:hanging="600"/>
        <w:rPr>
          <w:iCs/>
          <w:sz w:val="24"/>
          <w:szCs w:val="24"/>
        </w:rPr>
      </w:pPr>
      <w:proofErr w:type="spellStart"/>
      <w:r w:rsidRPr="00C860F5">
        <w:rPr>
          <w:sz w:val="24"/>
          <w:szCs w:val="24"/>
        </w:rPr>
        <w:t>Aïta</w:t>
      </w:r>
      <w:proofErr w:type="spellEnd"/>
      <w:r w:rsidRPr="00C860F5">
        <w:rPr>
          <w:sz w:val="24"/>
          <w:szCs w:val="24"/>
        </w:rPr>
        <w:t xml:space="preserve"> </w:t>
      </w:r>
      <w:proofErr w:type="spellStart"/>
      <w:r w:rsidRPr="00C860F5">
        <w:rPr>
          <w:sz w:val="24"/>
          <w:szCs w:val="24"/>
        </w:rPr>
        <w:t>Sarr</w:t>
      </w:r>
      <w:proofErr w:type="spellEnd"/>
      <w:r w:rsidRPr="00C860F5">
        <w:rPr>
          <w:sz w:val="24"/>
          <w:szCs w:val="24"/>
        </w:rPr>
        <w:t xml:space="preserve"> </w:t>
      </w:r>
      <w:proofErr w:type="spellStart"/>
      <w:r w:rsidRPr="00C860F5">
        <w:rPr>
          <w:sz w:val="24"/>
          <w:szCs w:val="24"/>
        </w:rPr>
        <w:t>Seck</w:t>
      </w:r>
      <w:proofErr w:type="spellEnd"/>
      <w:r w:rsidRPr="00C860F5">
        <w:rPr>
          <w:sz w:val="24"/>
          <w:szCs w:val="24"/>
          <w:lang w:val="zh-CN"/>
        </w:rPr>
        <w:t>女士</w:t>
      </w:r>
      <w:r w:rsidRPr="00C860F5">
        <w:rPr>
          <w:sz w:val="24"/>
          <w:szCs w:val="24"/>
        </w:rPr>
        <w:t>（</w:t>
      </w:r>
      <w:r w:rsidRPr="00C860F5">
        <w:rPr>
          <w:sz w:val="24"/>
          <w:szCs w:val="24"/>
          <w:lang w:val="zh-CN"/>
        </w:rPr>
        <w:t>塞内加尔</w:t>
      </w:r>
      <w:r w:rsidRPr="00C860F5">
        <w:rPr>
          <w:sz w:val="24"/>
          <w:szCs w:val="24"/>
        </w:rPr>
        <w:t>）</w:t>
      </w:r>
    </w:p>
    <w:p w:rsidR="006C58BB" w:rsidRPr="00C860F5" w:rsidRDefault="006C58BB" w:rsidP="006C58BB">
      <w:pPr>
        <w:tabs>
          <w:tab w:val="clear" w:pos="2948"/>
          <w:tab w:val="left" w:pos="2520"/>
        </w:tabs>
        <w:spacing w:line="240" w:lineRule="auto"/>
        <w:ind w:left="2280" w:hanging="600"/>
        <w:rPr>
          <w:iCs/>
          <w:sz w:val="24"/>
          <w:szCs w:val="24"/>
        </w:rPr>
      </w:pPr>
      <w:proofErr w:type="spellStart"/>
      <w:r w:rsidRPr="00C860F5">
        <w:rPr>
          <w:sz w:val="24"/>
          <w:szCs w:val="24"/>
        </w:rPr>
        <w:t>Clorence</w:t>
      </w:r>
      <w:proofErr w:type="spellEnd"/>
      <w:r w:rsidRPr="00C860F5">
        <w:rPr>
          <w:sz w:val="24"/>
          <w:szCs w:val="24"/>
        </w:rPr>
        <w:t xml:space="preserve"> </w:t>
      </w:r>
      <w:proofErr w:type="spellStart"/>
      <w:r w:rsidRPr="00C860F5">
        <w:rPr>
          <w:sz w:val="24"/>
          <w:szCs w:val="24"/>
        </w:rPr>
        <w:t>Matewe</w:t>
      </w:r>
      <w:proofErr w:type="spellEnd"/>
      <w:r w:rsidRPr="00C860F5">
        <w:rPr>
          <w:sz w:val="24"/>
          <w:szCs w:val="24"/>
          <w:lang w:val="zh-CN"/>
        </w:rPr>
        <w:t>先生</w:t>
      </w:r>
      <w:r w:rsidRPr="00C860F5">
        <w:rPr>
          <w:sz w:val="24"/>
          <w:szCs w:val="24"/>
        </w:rPr>
        <w:t>（</w:t>
      </w:r>
      <w:r w:rsidRPr="00C860F5">
        <w:rPr>
          <w:sz w:val="24"/>
          <w:szCs w:val="24"/>
          <w:lang w:val="zh-CN"/>
        </w:rPr>
        <w:t>津巴布韦</w:t>
      </w:r>
      <w:r w:rsidRPr="00C860F5">
        <w:rPr>
          <w:sz w:val="24"/>
          <w:szCs w:val="24"/>
        </w:rPr>
        <w:t>）</w:t>
      </w:r>
    </w:p>
    <w:p w:rsidR="006C58BB" w:rsidRPr="00C860F5" w:rsidRDefault="006C58BB" w:rsidP="006C58BB">
      <w:pPr>
        <w:tabs>
          <w:tab w:val="clear" w:pos="2948"/>
          <w:tab w:val="left" w:pos="2520"/>
        </w:tabs>
        <w:spacing w:line="240" w:lineRule="auto"/>
        <w:ind w:left="2280" w:hanging="600"/>
        <w:rPr>
          <w:iCs/>
          <w:sz w:val="24"/>
          <w:szCs w:val="24"/>
        </w:rPr>
      </w:pPr>
      <w:r w:rsidRPr="00C860F5">
        <w:rPr>
          <w:sz w:val="24"/>
          <w:szCs w:val="24"/>
        </w:rPr>
        <w:t xml:space="preserve">Youssef </w:t>
      </w:r>
      <w:proofErr w:type="spellStart"/>
      <w:r w:rsidRPr="00C860F5">
        <w:rPr>
          <w:sz w:val="24"/>
          <w:szCs w:val="24"/>
        </w:rPr>
        <w:t>Zidi</w:t>
      </w:r>
      <w:proofErr w:type="spellEnd"/>
      <w:r w:rsidRPr="00C860F5">
        <w:rPr>
          <w:sz w:val="24"/>
          <w:szCs w:val="24"/>
          <w:lang w:val="zh-CN"/>
        </w:rPr>
        <w:t>先生</w:t>
      </w:r>
      <w:r w:rsidRPr="00C860F5">
        <w:rPr>
          <w:sz w:val="24"/>
          <w:szCs w:val="24"/>
        </w:rPr>
        <w:t>（</w:t>
      </w:r>
      <w:r w:rsidRPr="00C860F5">
        <w:rPr>
          <w:sz w:val="24"/>
          <w:szCs w:val="24"/>
          <w:lang w:val="zh-CN"/>
        </w:rPr>
        <w:t>突尼斯</w:t>
      </w:r>
      <w:r w:rsidRPr="00C860F5">
        <w:rPr>
          <w:sz w:val="24"/>
          <w:szCs w:val="24"/>
        </w:rPr>
        <w:t>）</w:t>
      </w:r>
    </w:p>
    <w:p w:rsidR="006C58BB" w:rsidRPr="00C860F5" w:rsidRDefault="006C58BB" w:rsidP="006C58BB">
      <w:pPr>
        <w:tabs>
          <w:tab w:val="clear" w:pos="2948"/>
          <w:tab w:val="left" w:pos="2520"/>
        </w:tabs>
        <w:spacing w:line="240" w:lineRule="auto"/>
        <w:ind w:left="2280" w:hanging="600"/>
        <w:rPr>
          <w:iCs/>
          <w:sz w:val="24"/>
          <w:szCs w:val="24"/>
        </w:rPr>
      </w:pPr>
      <w:r w:rsidRPr="00C860F5">
        <w:rPr>
          <w:sz w:val="24"/>
          <w:szCs w:val="24"/>
        </w:rPr>
        <w:t xml:space="preserve">Daniel William </w:t>
      </w:r>
      <w:proofErr w:type="spellStart"/>
      <w:r w:rsidRPr="00C860F5">
        <w:rPr>
          <w:sz w:val="24"/>
          <w:szCs w:val="24"/>
        </w:rPr>
        <w:t>Ndiyo</w:t>
      </w:r>
      <w:proofErr w:type="spellEnd"/>
      <w:r w:rsidRPr="00C860F5">
        <w:rPr>
          <w:sz w:val="24"/>
          <w:szCs w:val="24"/>
          <w:lang w:val="zh-CN"/>
        </w:rPr>
        <w:t>先生</w:t>
      </w:r>
      <w:r w:rsidRPr="00C860F5">
        <w:rPr>
          <w:sz w:val="24"/>
          <w:szCs w:val="24"/>
        </w:rPr>
        <w:t>（</w:t>
      </w:r>
      <w:r w:rsidRPr="00C860F5">
        <w:rPr>
          <w:sz w:val="24"/>
          <w:szCs w:val="24"/>
          <w:lang w:val="zh-CN"/>
        </w:rPr>
        <w:t>坦桑尼亚联合共和国</w:t>
      </w:r>
      <w:r w:rsidRPr="00C860F5">
        <w:rPr>
          <w:sz w:val="24"/>
          <w:szCs w:val="24"/>
        </w:rPr>
        <w:t>）</w:t>
      </w:r>
    </w:p>
    <w:p w:rsidR="006C58BB" w:rsidRPr="00C860F5" w:rsidRDefault="006C58BB" w:rsidP="006C58BB">
      <w:pPr>
        <w:spacing w:line="240" w:lineRule="auto"/>
        <w:ind w:left="2311" w:hanging="1111"/>
        <w:rPr>
          <w:rFonts w:ascii="SimHei" w:eastAsia="SimHei" w:hAnsi="SimHei"/>
          <w:b/>
          <w:bCs/>
          <w:sz w:val="24"/>
          <w:szCs w:val="24"/>
        </w:rPr>
      </w:pPr>
      <w:r w:rsidRPr="00C860F5">
        <w:rPr>
          <w:rFonts w:ascii="SimHei" w:eastAsia="SimHei" w:hAnsi="SimHei"/>
          <w:b/>
          <w:bCs/>
          <w:sz w:val="24"/>
          <w:szCs w:val="24"/>
          <w:lang w:val="zh-CN"/>
        </w:rPr>
        <w:t>亚太国家</w:t>
      </w:r>
    </w:p>
    <w:p w:rsidR="006C58BB" w:rsidRPr="00C860F5" w:rsidRDefault="006C58BB" w:rsidP="006C58BB">
      <w:pPr>
        <w:spacing w:line="240" w:lineRule="auto"/>
        <w:ind w:left="2280" w:hanging="600"/>
        <w:rPr>
          <w:iCs/>
          <w:sz w:val="24"/>
          <w:szCs w:val="24"/>
        </w:rPr>
      </w:pPr>
      <w:proofErr w:type="spellStart"/>
      <w:r w:rsidRPr="00C860F5">
        <w:rPr>
          <w:sz w:val="24"/>
          <w:szCs w:val="24"/>
        </w:rPr>
        <w:t>Yenny</w:t>
      </w:r>
      <w:proofErr w:type="spellEnd"/>
      <w:r w:rsidRPr="00C860F5">
        <w:rPr>
          <w:sz w:val="24"/>
          <w:szCs w:val="24"/>
        </w:rPr>
        <w:t xml:space="preserve"> </w:t>
      </w:r>
      <w:proofErr w:type="spellStart"/>
      <w:r w:rsidRPr="00C860F5">
        <w:rPr>
          <w:sz w:val="24"/>
          <w:szCs w:val="24"/>
        </w:rPr>
        <w:t>Meliana</w:t>
      </w:r>
      <w:proofErr w:type="spellEnd"/>
      <w:r w:rsidRPr="00C860F5">
        <w:rPr>
          <w:sz w:val="24"/>
          <w:szCs w:val="24"/>
          <w:lang w:val="zh-CN"/>
        </w:rPr>
        <w:t>女士</w:t>
      </w:r>
      <w:r w:rsidRPr="00C860F5">
        <w:rPr>
          <w:sz w:val="24"/>
          <w:szCs w:val="24"/>
        </w:rPr>
        <w:t>（</w:t>
      </w:r>
      <w:r w:rsidRPr="00C860F5">
        <w:rPr>
          <w:sz w:val="24"/>
          <w:szCs w:val="24"/>
          <w:lang w:val="zh-CN"/>
        </w:rPr>
        <w:t>印度尼西亚</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 xml:space="preserve">Hassan </w:t>
      </w:r>
      <w:proofErr w:type="spellStart"/>
      <w:r w:rsidRPr="00C860F5">
        <w:rPr>
          <w:sz w:val="24"/>
          <w:szCs w:val="24"/>
        </w:rPr>
        <w:t>Azhar</w:t>
      </w:r>
      <w:proofErr w:type="spellEnd"/>
      <w:r w:rsidRPr="00C860F5">
        <w:rPr>
          <w:sz w:val="24"/>
          <w:szCs w:val="24"/>
          <w:lang w:val="zh-CN"/>
        </w:rPr>
        <w:t>先生</w:t>
      </w:r>
      <w:r w:rsidRPr="00C860F5">
        <w:rPr>
          <w:sz w:val="24"/>
          <w:szCs w:val="24"/>
        </w:rPr>
        <w:t>（</w:t>
      </w:r>
      <w:r w:rsidRPr="00C860F5">
        <w:rPr>
          <w:sz w:val="24"/>
          <w:szCs w:val="24"/>
          <w:lang w:val="zh-CN"/>
        </w:rPr>
        <w:t>马尔代夫</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 xml:space="preserve">Jayakody A. </w:t>
      </w:r>
      <w:proofErr w:type="spellStart"/>
      <w:r w:rsidRPr="00C860F5">
        <w:rPr>
          <w:sz w:val="24"/>
          <w:szCs w:val="24"/>
        </w:rPr>
        <w:t>Sumith</w:t>
      </w:r>
      <w:proofErr w:type="spellEnd"/>
      <w:r w:rsidRPr="00C860F5">
        <w:rPr>
          <w:sz w:val="24"/>
          <w:szCs w:val="24"/>
          <w:lang w:val="zh-CN"/>
        </w:rPr>
        <w:t>先生</w:t>
      </w:r>
      <w:r w:rsidRPr="00C860F5">
        <w:rPr>
          <w:sz w:val="24"/>
          <w:szCs w:val="24"/>
        </w:rPr>
        <w:t>（</w:t>
      </w:r>
      <w:r w:rsidRPr="00C860F5">
        <w:rPr>
          <w:sz w:val="24"/>
          <w:szCs w:val="24"/>
          <w:lang w:val="zh-CN"/>
        </w:rPr>
        <w:t>斯里兰卡</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 xml:space="preserve">Dinesh </w:t>
      </w:r>
      <w:proofErr w:type="spellStart"/>
      <w:r w:rsidRPr="00C860F5">
        <w:rPr>
          <w:sz w:val="24"/>
          <w:szCs w:val="24"/>
        </w:rPr>
        <w:t>Runiwal</w:t>
      </w:r>
      <w:proofErr w:type="spellEnd"/>
      <w:r w:rsidRPr="00C860F5">
        <w:rPr>
          <w:sz w:val="24"/>
          <w:szCs w:val="24"/>
          <w:lang w:val="zh-CN"/>
        </w:rPr>
        <w:t>先生</w:t>
      </w:r>
      <w:r w:rsidRPr="00C860F5">
        <w:rPr>
          <w:sz w:val="24"/>
          <w:szCs w:val="24"/>
        </w:rPr>
        <w:t>（</w:t>
      </w:r>
      <w:r w:rsidRPr="00C860F5">
        <w:rPr>
          <w:sz w:val="24"/>
          <w:szCs w:val="24"/>
          <w:lang w:val="zh-CN"/>
        </w:rPr>
        <w:t>印度</w:t>
      </w:r>
      <w:r w:rsidRPr="00C860F5">
        <w:rPr>
          <w:sz w:val="24"/>
          <w:szCs w:val="24"/>
        </w:rPr>
        <w:t>）</w:t>
      </w:r>
    </w:p>
    <w:p w:rsidR="006C58BB" w:rsidRPr="00C860F5" w:rsidRDefault="006C58BB" w:rsidP="006C58BB">
      <w:pPr>
        <w:spacing w:line="240" w:lineRule="auto"/>
        <w:ind w:left="2311" w:hanging="1111"/>
        <w:rPr>
          <w:rFonts w:ascii="SimHei" w:eastAsia="SimHei" w:hAnsi="SimHei"/>
          <w:b/>
          <w:bCs/>
          <w:sz w:val="24"/>
          <w:szCs w:val="24"/>
        </w:rPr>
      </w:pPr>
      <w:r w:rsidRPr="00C860F5">
        <w:rPr>
          <w:rFonts w:ascii="SimHei" w:eastAsia="SimHei" w:hAnsi="SimHei"/>
          <w:b/>
          <w:bCs/>
          <w:sz w:val="24"/>
          <w:szCs w:val="24"/>
          <w:lang w:val="zh-CN"/>
        </w:rPr>
        <w:t>中东欧国家</w:t>
      </w:r>
    </w:p>
    <w:p w:rsidR="006C58BB" w:rsidRPr="00C860F5" w:rsidRDefault="006C58BB" w:rsidP="006C58BB">
      <w:pPr>
        <w:spacing w:line="240" w:lineRule="auto"/>
        <w:ind w:left="2280" w:hanging="600"/>
        <w:rPr>
          <w:sz w:val="24"/>
          <w:szCs w:val="24"/>
        </w:rPr>
      </w:pPr>
      <w:r w:rsidRPr="00C860F5">
        <w:rPr>
          <w:sz w:val="24"/>
          <w:szCs w:val="24"/>
        </w:rPr>
        <w:t xml:space="preserve">Anahit </w:t>
      </w:r>
      <w:proofErr w:type="spellStart"/>
      <w:r w:rsidRPr="00C860F5">
        <w:rPr>
          <w:sz w:val="24"/>
          <w:szCs w:val="24"/>
        </w:rPr>
        <w:t>Aleksandryan</w:t>
      </w:r>
      <w:proofErr w:type="spellEnd"/>
      <w:r w:rsidRPr="00C860F5">
        <w:rPr>
          <w:sz w:val="24"/>
          <w:szCs w:val="24"/>
          <w:lang w:val="zh-CN"/>
        </w:rPr>
        <w:t>女士</w:t>
      </w:r>
      <w:r w:rsidRPr="00C860F5">
        <w:rPr>
          <w:sz w:val="24"/>
          <w:szCs w:val="24"/>
        </w:rPr>
        <w:t>（</w:t>
      </w:r>
      <w:r w:rsidRPr="00C860F5">
        <w:rPr>
          <w:sz w:val="24"/>
          <w:szCs w:val="24"/>
          <w:lang w:val="zh-CN"/>
        </w:rPr>
        <w:t>亚美尼亚</w:t>
      </w:r>
      <w:r w:rsidRPr="00C860F5">
        <w:rPr>
          <w:sz w:val="24"/>
          <w:szCs w:val="24"/>
        </w:rPr>
        <w:t>）</w:t>
      </w:r>
    </w:p>
    <w:p w:rsidR="006C58BB" w:rsidRPr="00C860F5" w:rsidRDefault="006C58BB" w:rsidP="006C58BB">
      <w:pPr>
        <w:spacing w:line="240" w:lineRule="auto"/>
        <w:ind w:left="2311" w:hanging="1111"/>
        <w:rPr>
          <w:rFonts w:ascii="SimHei" w:eastAsia="SimHei" w:hAnsi="SimHei"/>
          <w:b/>
          <w:bCs/>
          <w:sz w:val="24"/>
          <w:szCs w:val="24"/>
        </w:rPr>
      </w:pPr>
      <w:r w:rsidRPr="00C860F5">
        <w:rPr>
          <w:rFonts w:ascii="SimHei" w:eastAsia="SimHei" w:hAnsi="SimHei"/>
          <w:b/>
          <w:bCs/>
          <w:sz w:val="24"/>
          <w:szCs w:val="24"/>
          <w:lang w:val="zh-CN"/>
        </w:rPr>
        <w:t>拉丁美洲和加勒比国家</w:t>
      </w:r>
    </w:p>
    <w:p w:rsidR="006C58BB" w:rsidRPr="00C860F5" w:rsidRDefault="006C58BB" w:rsidP="006C58BB">
      <w:pPr>
        <w:spacing w:line="240" w:lineRule="auto"/>
        <w:ind w:left="2280" w:hanging="600"/>
        <w:rPr>
          <w:iCs/>
          <w:sz w:val="24"/>
          <w:szCs w:val="24"/>
        </w:rPr>
      </w:pPr>
      <w:r w:rsidRPr="00C860F5">
        <w:rPr>
          <w:sz w:val="24"/>
          <w:szCs w:val="24"/>
        </w:rPr>
        <w:t xml:space="preserve">Eliana Rosa </w:t>
      </w:r>
      <w:proofErr w:type="spellStart"/>
      <w:r w:rsidRPr="00C860F5">
        <w:rPr>
          <w:sz w:val="24"/>
          <w:szCs w:val="24"/>
        </w:rPr>
        <w:t>Munarriz</w:t>
      </w:r>
      <w:proofErr w:type="spellEnd"/>
      <w:r w:rsidRPr="00C860F5">
        <w:rPr>
          <w:sz w:val="24"/>
          <w:szCs w:val="24"/>
          <w:lang w:val="zh-CN"/>
        </w:rPr>
        <w:t>女士</w:t>
      </w:r>
      <w:r w:rsidRPr="00C860F5">
        <w:rPr>
          <w:sz w:val="24"/>
          <w:szCs w:val="24"/>
        </w:rPr>
        <w:t>（</w:t>
      </w:r>
      <w:r w:rsidRPr="00C860F5">
        <w:rPr>
          <w:sz w:val="24"/>
          <w:szCs w:val="24"/>
          <w:lang w:val="zh-CN"/>
        </w:rPr>
        <w:t>阿根廷</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Jonah Ormond</w:t>
      </w:r>
      <w:r w:rsidRPr="00C860F5">
        <w:rPr>
          <w:sz w:val="24"/>
          <w:szCs w:val="24"/>
          <w:lang w:val="zh-CN"/>
        </w:rPr>
        <w:t>先生</w:t>
      </w:r>
      <w:r w:rsidRPr="00C860F5">
        <w:rPr>
          <w:sz w:val="24"/>
          <w:szCs w:val="24"/>
        </w:rPr>
        <w:t>（</w:t>
      </w:r>
      <w:r w:rsidRPr="00C860F5">
        <w:rPr>
          <w:sz w:val="24"/>
          <w:szCs w:val="24"/>
          <w:lang w:val="zh-CN"/>
        </w:rPr>
        <w:t>安提瓜和巴布达</w:t>
      </w:r>
      <w:r w:rsidRPr="00C860F5">
        <w:rPr>
          <w:sz w:val="24"/>
          <w:szCs w:val="24"/>
        </w:rPr>
        <w:t>）</w:t>
      </w:r>
    </w:p>
    <w:p w:rsidR="006C58BB" w:rsidRPr="00C860F5" w:rsidRDefault="006C58BB" w:rsidP="006C58BB">
      <w:pPr>
        <w:spacing w:line="240" w:lineRule="auto"/>
        <w:ind w:left="2311" w:hanging="1111"/>
        <w:rPr>
          <w:rFonts w:ascii="SimHei" w:eastAsia="SimHei" w:hAnsi="SimHei"/>
          <w:b/>
          <w:bCs/>
          <w:sz w:val="24"/>
          <w:szCs w:val="24"/>
        </w:rPr>
      </w:pPr>
      <w:r w:rsidRPr="00C860F5">
        <w:rPr>
          <w:rFonts w:ascii="SimHei" w:eastAsia="SimHei" w:hAnsi="SimHei"/>
          <w:b/>
          <w:bCs/>
          <w:sz w:val="24"/>
          <w:szCs w:val="24"/>
          <w:lang w:val="zh-CN"/>
        </w:rPr>
        <w:t>西欧和其他国家</w:t>
      </w:r>
    </w:p>
    <w:p w:rsidR="006C58BB" w:rsidRPr="00C860F5" w:rsidRDefault="006C58BB" w:rsidP="006C58BB">
      <w:pPr>
        <w:spacing w:line="240" w:lineRule="auto"/>
        <w:ind w:left="2280" w:hanging="600"/>
        <w:rPr>
          <w:iCs/>
          <w:sz w:val="24"/>
          <w:szCs w:val="24"/>
        </w:rPr>
      </w:pPr>
      <w:r w:rsidRPr="00C860F5">
        <w:rPr>
          <w:sz w:val="24"/>
          <w:szCs w:val="24"/>
        </w:rPr>
        <w:t xml:space="preserve">Juergen </w:t>
      </w:r>
      <w:proofErr w:type="spellStart"/>
      <w:r w:rsidRPr="00C860F5">
        <w:rPr>
          <w:sz w:val="24"/>
          <w:szCs w:val="24"/>
        </w:rPr>
        <w:t>Helbig</w:t>
      </w:r>
      <w:proofErr w:type="spellEnd"/>
      <w:r w:rsidRPr="00C860F5">
        <w:rPr>
          <w:sz w:val="24"/>
          <w:szCs w:val="24"/>
          <w:lang w:val="zh-CN"/>
        </w:rPr>
        <w:t>先生</w:t>
      </w:r>
      <w:r w:rsidRPr="00C860F5">
        <w:rPr>
          <w:sz w:val="24"/>
          <w:szCs w:val="24"/>
        </w:rPr>
        <w:t>（</w:t>
      </w:r>
      <w:r w:rsidRPr="00C860F5">
        <w:rPr>
          <w:sz w:val="24"/>
          <w:szCs w:val="24"/>
          <w:lang w:val="zh-CN"/>
        </w:rPr>
        <w:t>奥地利</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 xml:space="preserve">Mara </w:t>
      </w:r>
      <w:proofErr w:type="spellStart"/>
      <w:r w:rsidRPr="00C860F5">
        <w:rPr>
          <w:sz w:val="24"/>
          <w:szCs w:val="24"/>
        </w:rPr>
        <w:t>Curaba</w:t>
      </w:r>
      <w:proofErr w:type="spellEnd"/>
      <w:r w:rsidRPr="00C860F5">
        <w:rPr>
          <w:sz w:val="24"/>
          <w:szCs w:val="24"/>
          <w:lang w:val="zh-CN"/>
        </w:rPr>
        <w:t>女士</w:t>
      </w:r>
      <w:r w:rsidRPr="00C860F5">
        <w:rPr>
          <w:sz w:val="24"/>
          <w:szCs w:val="24"/>
        </w:rPr>
        <w:t>（</w:t>
      </w:r>
      <w:r w:rsidRPr="00C860F5">
        <w:rPr>
          <w:sz w:val="24"/>
          <w:szCs w:val="24"/>
          <w:lang w:val="zh-CN"/>
        </w:rPr>
        <w:t>比利时</w:t>
      </w:r>
      <w:r w:rsidRPr="00C860F5">
        <w:rPr>
          <w:sz w:val="24"/>
          <w:szCs w:val="24"/>
        </w:rPr>
        <w:t>）</w:t>
      </w:r>
    </w:p>
    <w:p w:rsidR="006C58BB" w:rsidRPr="00C860F5" w:rsidRDefault="006C58BB" w:rsidP="006C58BB">
      <w:pPr>
        <w:spacing w:line="240" w:lineRule="auto"/>
        <w:ind w:left="2280" w:hanging="600"/>
        <w:rPr>
          <w:iCs/>
          <w:sz w:val="24"/>
          <w:szCs w:val="24"/>
        </w:rPr>
      </w:pPr>
      <w:r w:rsidRPr="00C860F5">
        <w:rPr>
          <w:sz w:val="24"/>
          <w:szCs w:val="24"/>
        </w:rPr>
        <w:t xml:space="preserve">Sarah </w:t>
      </w:r>
      <w:proofErr w:type="spellStart"/>
      <w:r w:rsidRPr="00C860F5">
        <w:rPr>
          <w:sz w:val="24"/>
          <w:szCs w:val="24"/>
        </w:rPr>
        <w:t>Maillefer</w:t>
      </w:r>
      <w:proofErr w:type="spellEnd"/>
      <w:r w:rsidRPr="00C860F5">
        <w:rPr>
          <w:sz w:val="24"/>
          <w:szCs w:val="24"/>
          <w:lang w:val="zh-CN"/>
        </w:rPr>
        <w:t>女士</w:t>
      </w:r>
      <w:r w:rsidRPr="00C860F5">
        <w:rPr>
          <w:sz w:val="24"/>
          <w:szCs w:val="24"/>
        </w:rPr>
        <w:t>（</w:t>
      </w:r>
      <w:r w:rsidRPr="00C860F5">
        <w:rPr>
          <w:sz w:val="24"/>
          <w:szCs w:val="24"/>
          <w:lang w:val="zh-CN"/>
        </w:rPr>
        <w:t>瑞士</w:t>
      </w:r>
      <w:r w:rsidRPr="00C860F5">
        <w:rPr>
          <w:sz w:val="24"/>
          <w:szCs w:val="24"/>
        </w:rPr>
        <w:t>）</w:t>
      </w:r>
    </w:p>
    <w:p w:rsidR="006C58BB" w:rsidRPr="00C860F5" w:rsidRDefault="006C58BB" w:rsidP="006C58BB">
      <w:pPr>
        <w:pStyle w:val="Normalnumber"/>
        <w:numPr>
          <w:ilvl w:val="0"/>
          <w:numId w:val="0"/>
        </w:numPr>
        <w:tabs>
          <w:tab w:val="left" w:pos="2340"/>
        </w:tabs>
        <w:ind w:left="2283" w:hanging="1080"/>
        <w:jc w:val="both"/>
        <w:rPr>
          <w:sz w:val="24"/>
          <w:szCs w:val="24"/>
          <w:lang w:val="en-US" w:eastAsia="zh-CN"/>
        </w:rPr>
      </w:pPr>
    </w:p>
    <w:p w:rsidR="006C58BB" w:rsidRPr="00C860F5" w:rsidRDefault="006C58BB" w:rsidP="006C58BB">
      <w:pPr>
        <w:pStyle w:val="Normalnumber"/>
        <w:numPr>
          <w:ilvl w:val="0"/>
          <w:numId w:val="0"/>
        </w:numPr>
        <w:tabs>
          <w:tab w:val="left" w:pos="2340"/>
        </w:tabs>
        <w:ind w:left="2283" w:hanging="1080"/>
        <w:jc w:val="both"/>
        <w:rPr>
          <w:sz w:val="24"/>
          <w:szCs w:val="24"/>
          <w:lang w:val="en-US" w:eastAsia="zh-CN"/>
        </w:rPr>
      </w:pPr>
    </w:p>
    <w:p w:rsidR="006C58BB" w:rsidRPr="00C860F5" w:rsidRDefault="006C58BB" w:rsidP="006C58BB">
      <w:pPr>
        <w:pStyle w:val="Normalnumber"/>
        <w:numPr>
          <w:ilvl w:val="0"/>
          <w:numId w:val="0"/>
        </w:numPr>
        <w:tabs>
          <w:tab w:val="left" w:pos="2340"/>
        </w:tabs>
        <w:ind w:left="2283" w:hanging="1080"/>
        <w:jc w:val="both"/>
        <w:rPr>
          <w:sz w:val="24"/>
          <w:szCs w:val="24"/>
          <w:lang w:val="en-US" w:eastAsia="zh-CN"/>
        </w:rPr>
      </w:pPr>
    </w:p>
    <w:p w:rsidR="006C58BB" w:rsidRPr="00C860F5" w:rsidRDefault="006C58BB" w:rsidP="006C58BB">
      <w:pPr>
        <w:pStyle w:val="Normalnumber"/>
        <w:numPr>
          <w:ilvl w:val="0"/>
          <w:numId w:val="0"/>
        </w:numPr>
        <w:tabs>
          <w:tab w:val="left" w:pos="2340"/>
        </w:tabs>
        <w:ind w:left="2283" w:hanging="1080"/>
        <w:jc w:val="both"/>
        <w:rPr>
          <w:sz w:val="24"/>
          <w:szCs w:val="24"/>
          <w:lang w:val="en-US" w:eastAsia="zh-CN"/>
        </w:rPr>
      </w:pPr>
    </w:p>
    <w:p w:rsidR="006C58BB" w:rsidRDefault="006C58BB" w:rsidP="006C58BB">
      <w:pPr>
        <w:spacing w:before="320" w:after="240" w:line="240" w:lineRule="auto"/>
        <w:jc w:val="left"/>
        <w:rPr>
          <w:rFonts w:eastAsia="SimHei"/>
          <w:b/>
          <w:sz w:val="32"/>
          <w:szCs w:val="32"/>
        </w:rPr>
      </w:pPr>
      <w:r w:rsidRPr="00C860F5">
        <w:rPr>
          <w:rFonts w:eastAsia="SimHei"/>
          <w:b/>
          <w:sz w:val="32"/>
          <w:szCs w:val="32"/>
        </w:rPr>
        <w:t xml:space="preserve">              </w:t>
      </w:r>
    </w:p>
    <w:p w:rsidR="00F935A6" w:rsidRPr="006C58BB" w:rsidRDefault="00F935A6" w:rsidP="006C58BB"/>
    <w:sectPr w:rsidR="00F935A6" w:rsidRPr="006C58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4C7" w:rsidRDefault="003D74C7" w:rsidP="006C58BB">
      <w:pPr>
        <w:spacing w:after="0" w:line="240" w:lineRule="auto"/>
      </w:pPr>
      <w:r>
        <w:separator/>
      </w:r>
    </w:p>
  </w:endnote>
  <w:endnote w:type="continuationSeparator" w:id="0">
    <w:p w:rsidR="003D74C7" w:rsidRDefault="003D74C7"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4C7" w:rsidRDefault="003D74C7" w:rsidP="006C58BB">
      <w:pPr>
        <w:spacing w:after="0" w:line="240" w:lineRule="auto"/>
      </w:pPr>
      <w:r>
        <w:separator/>
      </w:r>
    </w:p>
  </w:footnote>
  <w:footnote w:type="continuationSeparator" w:id="0">
    <w:p w:rsidR="003D74C7" w:rsidRDefault="003D74C7" w:rsidP="006C58BB">
      <w:pPr>
        <w:spacing w:after="0" w:line="240" w:lineRule="auto"/>
      </w:pPr>
      <w:r>
        <w:continuationSeparator/>
      </w:r>
    </w:p>
  </w:footnote>
  <w:footnote w:id="1">
    <w:p w:rsidR="006C58BB" w:rsidRPr="00A27BF1" w:rsidRDefault="006C58BB" w:rsidP="006C58BB">
      <w:pPr>
        <w:pStyle w:val="FootnoteText"/>
        <w:spacing w:after="40" w:line="240" w:lineRule="auto"/>
        <w:ind w:left="1200" w:firstLine="0"/>
        <w:rPr>
          <w:spacing w:val="0"/>
          <w:w w:val="100"/>
          <w:kern w:val="0"/>
          <w:lang w:eastAsia="zh-CN"/>
        </w:rPr>
      </w:pPr>
      <w:r w:rsidRPr="00A27BF1">
        <w:rPr>
          <w:rStyle w:val="FootnoteReference"/>
          <w:spacing w:val="0"/>
          <w:w w:val="100"/>
          <w:kern w:val="0"/>
        </w:rPr>
        <w:t>1</w:t>
      </w:r>
      <w:r w:rsidRPr="00A27BF1">
        <w:rPr>
          <w:spacing w:val="0"/>
          <w:w w:val="100"/>
          <w:kern w:val="0"/>
        </w:rPr>
        <w:t xml:space="preserve"> </w:t>
      </w:r>
      <w:r w:rsidRPr="00A27BF1">
        <w:rPr>
          <w:spacing w:val="0"/>
          <w:w w:val="100"/>
          <w:kern w:val="0"/>
          <w:sz w:val="20"/>
          <w:lang w:val="en-US"/>
        </w:rPr>
        <w:t>UNEP/FAO/RC/CRC.13/19</w:t>
      </w:r>
      <w:r w:rsidRPr="00A27BF1">
        <w:rPr>
          <w:spacing w:val="0"/>
          <w:w w:val="100"/>
          <w:kern w:val="0"/>
          <w:sz w:val="20"/>
          <w:lang w:val="zh-CN"/>
        </w:rPr>
        <w:t>和</w:t>
      </w:r>
      <w:r w:rsidRPr="00A27BF1">
        <w:rPr>
          <w:spacing w:val="0"/>
          <w:w w:val="100"/>
          <w:kern w:val="0"/>
          <w:sz w:val="20"/>
          <w:lang w:val="en-US"/>
        </w:rPr>
        <w:t>UNEP/FAO/RC/CRC.14/10</w:t>
      </w:r>
      <w:r w:rsidRPr="00A27BF1">
        <w:rPr>
          <w:spacing w:val="0"/>
          <w:w w:val="100"/>
          <w:kern w:val="0"/>
          <w:sz w:val="20"/>
          <w:lang w:val="zh-CN"/>
        </w:rPr>
        <w:t>。</w:t>
      </w:r>
    </w:p>
  </w:footnote>
  <w:footnote w:id="2">
    <w:p w:rsidR="006C58BB" w:rsidRPr="00785470" w:rsidRDefault="006C58BB" w:rsidP="006C58BB">
      <w:pPr>
        <w:pStyle w:val="FootnoteText"/>
        <w:spacing w:after="40" w:line="240" w:lineRule="auto"/>
        <w:ind w:left="1200" w:firstLine="0"/>
        <w:rPr>
          <w:lang w:eastAsia="zh-CN"/>
        </w:rPr>
      </w:pPr>
      <w:r w:rsidRPr="00785470">
        <w:rPr>
          <w:rStyle w:val="FootnoteReference"/>
          <w:spacing w:val="0"/>
          <w:w w:val="100"/>
          <w:kern w:val="0"/>
        </w:rPr>
        <w:t>2</w:t>
      </w:r>
      <w:r w:rsidRPr="00785470">
        <w:rPr>
          <w:spacing w:val="0"/>
          <w:w w:val="100"/>
          <w:kern w:val="0"/>
        </w:rPr>
        <w:t xml:space="preserve"> </w:t>
      </w:r>
      <w:r w:rsidRPr="00785470">
        <w:rPr>
          <w:spacing w:val="0"/>
          <w:w w:val="100"/>
          <w:kern w:val="0"/>
          <w:sz w:val="20"/>
          <w:lang w:val="zh-CN"/>
        </w:rPr>
        <w:t>这些专家的简历载于</w:t>
      </w:r>
      <w:r w:rsidRPr="00785470">
        <w:rPr>
          <w:spacing w:val="0"/>
          <w:w w:val="100"/>
          <w:kern w:val="0"/>
          <w:sz w:val="20"/>
        </w:rPr>
        <w:t>UNEP/FAO/RC/COP.9/INF/4/Rev.1</w:t>
      </w:r>
      <w:r w:rsidRPr="00785470">
        <w:rPr>
          <w:spacing w:val="0"/>
          <w:w w:val="100"/>
          <w:kern w:val="0"/>
          <w:sz w:val="20"/>
          <w:lang w:val="zh-CN"/>
        </w:rPr>
        <w:t>号文件。</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0"/>
    <w:lvlOverride w:ilvl="1">
      <w:lvl w:ilvl="1">
        <w:start w:val="1"/>
        <w:numFmt w:val="lowerLetter"/>
        <w:lvlText w:val="(%2)"/>
        <w:lvlJc w:val="left"/>
        <w:pPr>
          <w:tabs>
            <w:tab w:val="num" w:pos="567"/>
          </w:tabs>
          <w:ind w:left="1247" w:firstLine="567"/>
        </w:pPr>
        <w:rPr>
          <w:rFonts w:hint="default"/>
        </w:rPr>
      </w:lvl>
    </w:lvlOverride>
  </w:num>
  <w:num w:numId="4">
    <w:abstractNumId w:val="2"/>
    <w:lvlOverride w:ilvl="0">
      <w:lvl w:ilvl="0" w:tplc="9566D8DE">
        <w:start w:val="1"/>
        <w:numFmt w:val="decimal"/>
        <w:lvlText w:val="%1."/>
        <w:lvlJc w:val="left"/>
        <w:pPr>
          <w:tabs>
            <w:tab w:val="num" w:pos="3215"/>
          </w:tabs>
          <w:ind w:left="3215" w:hanging="360"/>
        </w:pPr>
        <w:rPr>
          <w:i w:val="0"/>
        </w:rPr>
      </w:lvl>
    </w:lvlOverride>
  </w:num>
  <w:num w:numId="5">
    <w:abstractNumId w:val="1"/>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1"/>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33786D"/>
    <w:rsid w:val="003D74C7"/>
    <w:rsid w:val="006C58BB"/>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2019-11-27T20:46:00Z</dcterms:created>
  <dcterms:modified xsi:type="dcterms:W3CDTF">2019-11-27T20:46:00Z</dcterms:modified>
</cp:coreProperties>
</file>