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56D8" w:rsidRPr="002E351B" w:rsidRDefault="009D56D8" w:rsidP="009D56D8">
      <w:pPr>
        <w:pStyle w:val="CH1"/>
      </w:pPr>
      <w:r>
        <w:tab/>
      </w:r>
      <w:r>
        <w:tab/>
      </w:r>
      <w:bookmarkStart w:id="0" w:name="_GoBack"/>
      <w:bookmarkEnd w:id="0"/>
      <w:r w:rsidRPr="002E351B">
        <w:t>RC-9/2: Operation of the Chemical Review Committee</w:t>
      </w:r>
    </w:p>
    <w:p w:rsidR="009D56D8" w:rsidRPr="002E351B" w:rsidRDefault="009D56D8" w:rsidP="009D56D8">
      <w:pPr>
        <w:pStyle w:val="Normal-pool"/>
        <w:widowControl w:val="0"/>
        <w:tabs>
          <w:tab w:val="clear" w:pos="1247"/>
          <w:tab w:val="clear" w:pos="1814"/>
          <w:tab w:val="clear" w:pos="2381"/>
          <w:tab w:val="clear" w:pos="2948"/>
          <w:tab w:val="clear" w:pos="3515"/>
          <w:tab w:val="clear" w:pos="4082"/>
        </w:tabs>
        <w:spacing w:after="120"/>
        <w:ind w:left="1247" w:firstLine="624"/>
        <w:rPr>
          <w:iCs/>
        </w:rPr>
      </w:pPr>
      <w:r w:rsidRPr="002E351B">
        <w:rPr>
          <w:i/>
        </w:rPr>
        <w:t>The Conference of the Parties</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rPr>
        <w:t xml:space="preserve">Takes note </w:t>
      </w:r>
      <w:r w:rsidRPr="002E351B">
        <w:t>of the information provided in the reports of the Chemical Review Committee on the work of its thirteenth and fourteenth meetings;</w:t>
      </w:r>
      <w:r w:rsidRPr="002E351B">
        <w:rPr>
          <w:vertAlign w:val="superscript"/>
        </w:rPr>
        <w:footnoteReference w:id="1"/>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rPr>
          <w:color w:val="000000"/>
        </w:rPr>
      </w:pPr>
      <w:r w:rsidRPr="002E351B">
        <w:rPr>
          <w:i/>
        </w:rPr>
        <w:t>Recalls</w:t>
      </w:r>
      <w:r w:rsidRPr="002E351B">
        <w:rPr>
          <w:color w:val="000000"/>
        </w:rPr>
        <w:t xml:space="preserve"> </w:t>
      </w:r>
      <w:r w:rsidRPr="002E351B">
        <w:rPr>
          <w:bCs/>
        </w:rPr>
        <w:t xml:space="preserve">the need for Parties to </w:t>
      </w:r>
      <w:proofErr w:type="gramStart"/>
      <w:r w:rsidRPr="002E351B">
        <w:rPr>
          <w:bCs/>
        </w:rPr>
        <w:t>take into account</w:t>
      </w:r>
      <w:proofErr w:type="gramEnd"/>
      <w:r w:rsidRPr="002E351B">
        <w:rPr>
          <w:bCs/>
        </w:rPr>
        <w:t xml:space="preserve">, when nominating experts, the responsibilities and </w:t>
      </w:r>
      <w:r w:rsidRPr="002E351B">
        <w:t>qualifications</w:t>
      </w:r>
      <w:r w:rsidRPr="002E351B">
        <w:rPr>
          <w:bCs/>
        </w:rPr>
        <w:t xml:space="preserve">, in accordance </w:t>
      </w:r>
      <w:r w:rsidRPr="002E351B">
        <w:rPr>
          <w:color w:val="000000"/>
        </w:rPr>
        <w:t>with</w:t>
      </w:r>
      <w:r w:rsidRPr="002E351B">
        <w:rPr>
          <w:bCs/>
        </w:rPr>
        <w:t xml:space="preserve"> the terms of reference of </w:t>
      </w:r>
      <w:r w:rsidRPr="002E351B">
        <w:rPr>
          <w:iCs/>
        </w:rPr>
        <w:t>the</w:t>
      </w:r>
      <w:r w:rsidRPr="002E351B">
        <w:rPr>
          <w:bCs/>
        </w:rPr>
        <w:t xml:space="preserve"> Chemical Review Committee, and the commitment required of </w:t>
      </w:r>
      <w:r w:rsidRPr="002E351B">
        <w:t>Committee</w:t>
      </w:r>
      <w:r w:rsidRPr="002E351B">
        <w:rPr>
          <w:bCs/>
        </w:rPr>
        <w:t xml:space="preserve"> members;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iCs/>
        </w:rPr>
        <w:t>Confirms</w:t>
      </w:r>
      <w:r w:rsidRPr="002E351B">
        <w:t xml:space="preserve"> the appointments of Mr. Dinesh </w:t>
      </w:r>
      <w:proofErr w:type="spellStart"/>
      <w:r w:rsidRPr="002E351B">
        <w:t>Runiwal</w:t>
      </w:r>
      <w:proofErr w:type="spellEnd"/>
      <w:r w:rsidRPr="002E351B">
        <w:t xml:space="preserve"> (India) to replace Mr. Manoj Kumar </w:t>
      </w:r>
      <w:proofErr w:type="spellStart"/>
      <w:r w:rsidRPr="002E351B">
        <w:t>Gangeya</w:t>
      </w:r>
      <w:proofErr w:type="spellEnd"/>
      <w:r w:rsidRPr="002E351B">
        <w:t xml:space="preserve"> and Mr. Simon Hoy (United Kingdom of Great Britain and Northern Ireland) to replace Ms. Johanna </w:t>
      </w:r>
      <w:proofErr w:type="spellStart"/>
      <w:r w:rsidRPr="002E351B">
        <w:t>Pelthola-Thies</w:t>
      </w:r>
      <w:proofErr w:type="spellEnd"/>
      <w:r w:rsidRPr="002E351B">
        <w:t xml:space="preserve"> as members of the Committee to serve for the remainder of Mr. </w:t>
      </w:r>
      <w:proofErr w:type="spellStart"/>
      <w:r w:rsidRPr="002E351B">
        <w:t>Gangeya’s</w:t>
      </w:r>
      <w:proofErr w:type="spellEnd"/>
      <w:r w:rsidRPr="002E351B">
        <w:t xml:space="preserve"> and Ms. </w:t>
      </w:r>
      <w:proofErr w:type="spellStart"/>
      <w:r w:rsidRPr="002E351B">
        <w:t>Pelthola-Thies’s</w:t>
      </w:r>
      <w:proofErr w:type="spellEnd"/>
      <w:r w:rsidRPr="002E351B">
        <w:t xml:space="preserve"> terms, until 30 April 2020;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iCs/>
        </w:rPr>
        <w:t>Also confirms</w:t>
      </w:r>
      <w:r w:rsidRPr="002E351B">
        <w:t xml:space="preserve"> the appointments of Mr. Martin Lacroix (Canada) to replace Mr. Jeffery Goodman, Ms. Gloria Judith Venegas Calderón (Ecuador) to replace </w:t>
      </w:r>
      <w:r w:rsidRPr="002E351B">
        <w:rPr>
          <w:bCs/>
        </w:rPr>
        <w:t>Ms. Cristina Salgado, Ms. </w:t>
      </w:r>
      <w:proofErr w:type="spellStart"/>
      <w:r w:rsidRPr="002E351B">
        <w:rPr>
          <w:bCs/>
        </w:rPr>
        <w:t>Kristīne</w:t>
      </w:r>
      <w:proofErr w:type="spellEnd"/>
      <w:r w:rsidRPr="002E351B">
        <w:rPr>
          <w:bCs/>
        </w:rPr>
        <w:t xml:space="preserve"> </w:t>
      </w:r>
      <w:proofErr w:type="spellStart"/>
      <w:r w:rsidRPr="002E351B">
        <w:rPr>
          <w:bCs/>
        </w:rPr>
        <w:t>Kazerovska</w:t>
      </w:r>
      <w:proofErr w:type="spellEnd"/>
      <w:r w:rsidRPr="002E351B">
        <w:rPr>
          <w:bCs/>
        </w:rPr>
        <w:t xml:space="preserve"> (Latvia) to replace Ms. </w:t>
      </w:r>
      <w:proofErr w:type="spellStart"/>
      <w:r w:rsidRPr="002E351B">
        <w:rPr>
          <w:bCs/>
        </w:rPr>
        <w:t>Līga</w:t>
      </w:r>
      <w:proofErr w:type="spellEnd"/>
      <w:r w:rsidRPr="002E351B">
        <w:rPr>
          <w:bCs/>
        </w:rPr>
        <w:t xml:space="preserve"> </w:t>
      </w:r>
      <w:proofErr w:type="spellStart"/>
      <w:r w:rsidRPr="002E351B">
        <w:rPr>
          <w:bCs/>
        </w:rPr>
        <w:t>Rubene</w:t>
      </w:r>
      <w:proofErr w:type="spellEnd"/>
      <w:r w:rsidRPr="002E351B">
        <w:rPr>
          <w:bCs/>
        </w:rPr>
        <w:t xml:space="preserve">, Mr. Muhammad Shakeel Malik (Pakistan) to replace Mr. Iftikhar-ul-Hassan Shah Gilani, and Ms. Agnieszka </w:t>
      </w:r>
      <w:proofErr w:type="spellStart"/>
      <w:r w:rsidRPr="002E351B">
        <w:rPr>
          <w:bCs/>
        </w:rPr>
        <w:t>Jankowska</w:t>
      </w:r>
      <w:proofErr w:type="spellEnd"/>
      <w:r w:rsidRPr="002E351B">
        <w:rPr>
          <w:bCs/>
        </w:rPr>
        <w:t xml:space="preserve"> (Poland) to replace Ms. Dorota </w:t>
      </w:r>
      <w:proofErr w:type="spellStart"/>
      <w:r w:rsidRPr="002E351B">
        <w:rPr>
          <w:bCs/>
        </w:rPr>
        <w:t>Wiaderna</w:t>
      </w:r>
      <w:proofErr w:type="spellEnd"/>
      <w:r w:rsidRPr="002E351B">
        <w:rPr>
          <w:bCs/>
        </w:rPr>
        <w:t xml:space="preserve"> </w:t>
      </w:r>
      <w:r w:rsidRPr="002E351B">
        <w:t xml:space="preserve">as members of the Committee to serve for the remainder of Mr. Goodman’s, Ms. Salgado’s, Ms. </w:t>
      </w:r>
      <w:proofErr w:type="spellStart"/>
      <w:r w:rsidRPr="002E351B">
        <w:rPr>
          <w:bCs/>
        </w:rPr>
        <w:t>Rubene</w:t>
      </w:r>
      <w:r w:rsidRPr="002E351B">
        <w:t>’s</w:t>
      </w:r>
      <w:proofErr w:type="spellEnd"/>
      <w:r w:rsidRPr="002E351B">
        <w:t xml:space="preserve">, Mr. Gilani’s and Ms. </w:t>
      </w:r>
      <w:proofErr w:type="spellStart"/>
      <w:r w:rsidRPr="002E351B">
        <w:t>Wiaderna’s</w:t>
      </w:r>
      <w:proofErr w:type="spellEnd"/>
      <w:r w:rsidRPr="002E351B">
        <w:t xml:space="preserve"> terms, until 30 April 2022;</w:t>
      </w:r>
      <w:r w:rsidRPr="002E351B">
        <w:rPr>
          <w:bCs/>
        </w:rPr>
        <w:t xml:space="preserve">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rPr>
        <w:t xml:space="preserve">Appoints </w:t>
      </w:r>
      <w:r w:rsidRPr="002E351B">
        <w:t>the 14 designated experts listed in the annex to the present decision to serve as members of the Committee, with terms of office from 1 May 2020 to 30 April 2024;</w:t>
      </w:r>
      <w:r w:rsidRPr="002E351B">
        <w:rPr>
          <w:vertAlign w:val="superscript"/>
        </w:rPr>
        <w:footnoteReference w:id="2"/>
      </w:r>
      <w:r w:rsidRPr="002E351B">
        <w:rPr>
          <w:vertAlign w:val="superscript"/>
        </w:rPr>
        <w:t xml:space="preserve">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iCs/>
        </w:rPr>
        <w:t>Elects</w:t>
      </w:r>
      <w:r w:rsidRPr="002E351B">
        <w:t xml:space="preserve"> Ms. </w:t>
      </w:r>
      <w:proofErr w:type="spellStart"/>
      <w:r w:rsidRPr="002E351B">
        <w:t>Noluzuko</w:t>
      </w:r>
      <w:proofErr w:type="spellEnd"/>
      <w:r w:rsidRPr="002E351B">
        <w:t xml:space="preserve"> </w:t>
      </w:r>
      <w:proofErr w:type="spellStart"/>
      <w:r w:rsidRPr="002E351B">
        <w:t>Gwayi</w:t>
      </w:r>
      <w:proofErr w:type="spellEnd"/>
      <w:r w:rsidRPr="002E351B">
        <w:t xml:space="preserve"> (South Africa) as the Chair of the Committee;</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rPr>
        <w:t xml:space="preserve">Welcomes </w:t>
      </w:r>
      <w:r w:rsidRPr="002E351B">
        <w:rPr>
          <w:iCs/>
        </w:rPr>
        <w:t xml:space="preserve">the orientation workshop conducted by the Secretariat </w:t>
      </w:r>
      <w:r w:rsidRPr="002E351B">
        <w:t>for new members, and requests the Secretariat to establish and implement training activities within the framework of the technical assistance plan, subject to the availability of resources, for new and existing members, considering different delivery techniques and information channels, inter alia, workshops and e</w:t>
      </w:r>
      <w:r w:rsidRPr="002E351B">
        <w:noBreakHyphen/>
        <w:t xml:space="preserve">learning tools, and to report on their results to the Conference of the Parties at its tenth meeting;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rPr>
        <w:t xml:space="preserve">Also welcomes </w:t>
      </w:r>
      <w:r w:rsidRPr="002E351B">
        <w:rPr>
          <w:iCs/>
        </w:rPr>
        <w:t xml:space="preserve">the Secretariat’s recommendations in document UNEP/FAO/RC/COP.9/INF/18 for improving </w:t>
      </w:r>
      <w:r w:rsidRPr="002E351B">
        <w:t>participation</w:t>
      </w:r>
      <w:r w:rsidRPr="002E351B">
        <w:rPr>
          <w:iCs/>
        </w:rPr>
        <w:t xml:space="preserve">, openness and </w:t>
      </w:r>
      <w:r w:rsidRPr="002E351B">
        <w:t>transparency</w:t>
      </w:r>
      <w:r w:rsidRPr="002E351B">
        <w:rPr>
          <w:iCs/>
        </w:rPr>
        <w:t xml:space="preserve"> in the </w:t>
      </w:r>
      <w:r w:rsidRPr="002E351B">
        <w:t>Chemical Review Committee</w:t>
      </w:r>
      <w:r w:rsidRPr="002E351B">
        <w:rPr>
          <w:iCs/>
        </w:rPr>
        <w:t xml:space="preserve"> process;</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rPr>
        <w:t>Requests</w:t>
      </w:r>
      <w:r w:rsidRPr="002E351B">
        <w:t xml:space="preserve"> the Secretariat to report to the Conference of the Parties at its tenth meeting on progress with respect to the recommendations for improving participation, openness and transparency in the Chemical Review Committee process, as contained in document UNEP/FAO/RC/COP.9/INF/18, with </w:t>
      </w:r>
      <w:proofErr w:type="gramStart"/>
      <w:r w:rsidRPr="002E351B">
        <w:t>particular attention</w:t>
      </w:r>
      <w:proofErr w:type="gramEnd"/>
      <w:r w:rsidRPr="002E351B">
        <w:t xml:space="preserve"> to actions that increase the participation of experts, Parties and observers; </w:t>
      </w:r>
    </w:p>
    <w:p w:rsidR="009D56D8" w:rsidRPr="002E351B" w:rsidRDefault="009D56D8" w:rsidP="009D56D8">
      <w:pPr>
        <w:pStyle w:val="Normal-pool"/>
        <w:numPr>
          <w:ilvl w:val="0"/>
          <w:numId w:val="1"/>
        </w:numPr>
        <w:tabs>
          <w:tab w:val="clear" w:pos="1247"/>
          <w:tab w:val="clear" w:pos="1814"/>
          <w:tab w:val="clear" w:pos="2381"/>
          <w:tab w:val="clear" w:pos="2948"/>
          <w:tab w:val="clear" w:pos="3515"/>
          <w:tab w:val="clear" w:pos="4082"/>
          <w:tab w:val="left" w:pos="624"/>
        </w:tabs>
        <w:spacing w:after="120"/>
        <w:ind w:left="1247" w:firstLine="624"/>
      </w:pPr>
      <w:r w:rsidRPr="002E351B">
        <w:rPr>
          <w:i/>
          <w:iCs/>
        </w:rPr>
        <w:t>Also requests</w:t>
      </w:r>
      <w:r w:rsidRPr="002E351B">
        <w:t xml:space="preserve"> the Secretariat to translate, subject to the availability of resources, the Pocket Guide for Effective Participation in the Chemical Review </w:t>
      </w:r>
      <w:r w:rsidRPr="002E351B">
        <w:rPr>
          <w:iCs/>
        </w:rPr>
        <w:t>Committee</w:t>
      </w:r>
      <w:r w:rsidRPr="002E351B">
        <w:t xml:space="preserve"> under the Rotterdam Convention and the Handbook of Working Procedures and Policy Guidance for the Chemical Review Committee. </w:t>
      </w:r>
    </w:p>
    <w:p w:rsidR="009D56D8" w:rsidRPr="002E351B" w:rsidRDefault="009D56D8" w:rsidP="009D56D8">
      <w:pPr>
        <w:pStyle w:val="Normal-pool"/>
      </w:pPr>
    </w:p>
    <w:p w:rsidR="009D56D8" w:rsidRPr="002E351B" w:rsidRDefault="009D56D8" w:rsidP="009D56D8">
      <w:pPr>
        <w:tabs>
          <w:tab w:val="clear" w:pos="1247"/>
          <w:tab w:val="clear" w:pos="1814"/>
          <w:tab w:val="clear" w:pos="2381"/>
          <w:tab w:val="clear" w:pos="2948"/>
          <w:tab w:val="clear" w:pos="3515"/>
        </w:tabs>
      </w:pPr>
      <w:r w:rsidRPr="002E351B">
        <w:br w:type="page"/>
      </w:r>
    </w:p>
    <w:p w:rsidR="009D56D8" w:rsidRPr="002E351B" w:rsidRDefault="009D56D8" w:rsidP="009D56D8">
      <w:pPr>
        <w:pStyle w:val="CH1"/>
      </w:pPr>
      <w:r w:rsidRPr="002E351B">
        <w:lastRenderedPageBreak/>
        <w:tab/>
      </w:r>
      <w:r w:rsidRPr="002E351B">
        <w:tab/>
        <w:t>Annex to decision RC-9/2</w:t>
      </w:r>
    </w:p>
    <w:p w:rsidR="009D56D8" w:rsidRPr="002E351B" w:rsidRDefault="009D56D8" w:rsidP="009D56D8">
      <w:pPr>
        <w:pStyle w:val="ZZAnxtitle"/>
        <w:tabs>
          <w:tab w:val="clear" w:pos="1247"/>
          <w:tab w:val="clear" w:pos="1814"/>
          <w:tab w:val="clear" w:pos="2381"/>
          <w:tab w:val="clear" w:pos="2948"/>
          <w:tab w:val="clear" w:pos="3515"/>
          <w:tab w:val="clear" w:pos="4082"/>
        </w:tabs>
        <w:spacing w:after="240"/>
      </w:pPr>
      <w:r w:rsidRPr="002E351B">
        <w:t xml:space="preserve">Members of the Chemical Review Committee appointed by the Conference of the Parties at its ninth meeting for terms of office beginning on 1 May 2020 </w:t>
      </w:r>
    </w:p>
    <w:p w:rsidR="009D56D8" w:rsidRPr="002E351B" w:rsidRDefault="009D56D8" w:rsidP="009D56D8">
      <w:pPr>
        <w:spacing w:after="120"/>
        <w:ind w:left="1871" w:hanging="624"/>
        <w:rPr>
          <w:rFonts w:eastAsia="Calibri"/>
          <w:b/>
          <w:bCs/>
          <w:iCs/>
        </w:rPr>
      </w:pPr>
      <w:r w:rsidRPr="002E351B">
        <w:rPr>
          <w:rFonts w:eastAsia="Calibri"/>
          <w:b/>
          <w:bCs/>
          <w:iCs/>
        </w:rPr>
        <w:t>African States</w:t>
      </w:r>
    </w:p>
    <w:p w:rsidR="009D56D8" w:rsidRPr="002E351B" w:rsidRDefault="009D56D8" w:rsidP="009D56D8">
      <w:pPr>
        <w:ind w:left="2495" w:hanging="624"/>
        <w:rPr>
          <w:rFonts w:eastAsia="Calibri"/>
          <w:iCs/>
        </w:rPr>
      </w:pPr>
      <w:r w:rsidRPr="002E351B">
        <w:rPr>
          <w:rFonts w:eastAsia="Calibri"/>
          <w:iCs/>
        </w:rPr>
        <w:t xml:space="preserve">Ms. </w:t>
      </w:r>
      <w:proofErr w:type="spellStart"/>
      <w:r w:rsidRPr="002E351B">
        <w:rPr>
          <w:rFonts w:eastAsia="Calibri"/>
          <w:iCs/>
        </w:rPr>
        <w:t>Aïta</w:t>
      </w:r>
      <w:proofErr w:type="spellEnd"/>
      <w:r w:rsidRPr="002E351B">
        <w:rPr>
          <w:rFonts w:eastAsia="Calibri"/>
          <w:iCs/>
        </w:rPr>
        <w:t xml:space="preserve"> </w:t>
      </w:r>
      <w:proofErr w:type="spellStart"/>
      <w:r w:rsidRPr="002E351B">
        <w:rPr>
          <w:rFonts w:eastAsia="Calibri"/>
          <w:iCs/>
        </w:rPr>
        <w:t>Sarr</w:t>
      </w:r>
      <w:proofErr w:type="spellEnd"/>
      <w:r w:rsidRPr="002E351B">
        <w:rPr>
          <w:rFonts w:eastAsia="Calibri"/>
          <w:iCs/>
        </w:rPr>
        <w:t xml:space="preserve"> </w:t>
      </w:r>
      <w:proofErr w:type="spellStart"/>
      <w:r w:rsidRPr="002E351B">
        <w:rPr>
          <w:rFonts w:eastAsia="Calibri"/>
          <w:iCs/>
        </w:rPr>
        <w:t>Seck</w:t>
      </w:r>
      <w:proofErr w:type="spellEnd"/>
      <w:r w:rsidRPr="002E351B">
        <w:rPr>
          <w:rFonts w:eastAsia="Calibri"/>
          <w:iCs/>
        </w:rPr>
        <w:t xml:space="preserve"> (Senegal)</w:t>
      </w:r>
    </w:p>
    <w:p w:rsidR="009D56D8" w:rsidRPr="002E351B" w:rsidRDefault="009D56D8" w:rsidP="009D56D8">
      <w:pPr>
        <w:ind w:left="2495" w:hanging="624"/>
        <w:rPr>
          <w:rFonts w:eastAsia="Calibri"/>
          <w:iCs/>
        </w:rPr>
      </w:pPr>
      <w:r w:rsidRPr="002E351B">
        <w:rPr>
          <w:rFonts w:eastAsia="Calibri"/>
          <w:iCs/>
        </w:rPr>
        <w:t xml:space="preserve">Mr. </w:t>
      </w:r>
      <w:proofErr w:type="spellStart"/>
      <w:r w:rsidRPr="002E351B">
        <w:rPr>
          <w:rFonts w:eastAsia="Calibri"/>
          <w:iCs/>
        </w:rPr>
        <w:t>Clorence</w:t>
      </w:r>
      <w:proofErr w:type="spellEnd"/>
      <w:r w:rsidRPr="002E351B">
        <w:rPr>
          <w:rFonts w:eastAsia="Calibri"/>
          <w:iCs/>
        </w:rPr>
        <w:t xml:space="preserve"> </w:t>
      </w:r>
      <w:proofErr w:type="spellStart"/>
      <w:r w:rsidRPr="002E351B">
        <w:rPr>
          <w:rFonts w:eastAsia="Calibri"/>
          <w:iCs/>
        </w:rPr>
        <w:t>Matewe</w:t>
      </w:r>
      <w:proofErr w:type="spellEnd"/>
      <w:r w:rsidRPr="002E351B">
        <w:rPr>
          <w:rFonts w:eastAsia="Calibri"/>
          <w:iCs/>
        </w:rPr>
        <w:t xml:space="preserve"> (Zimbabwe)</w:t>
      </w:r>
    </w:p>
    <w:p w:rsidR="009D56D8" w:rsidRPr="002E351B" w:rsidRDefault="009D56D8" w:rsidP="009D56D8">
      <w:pPr>
        <w:ind w:left="2495" w:hanging="624"/>
        <w:rPr>
          <w:rFonts w:eastAsia="Calibri"/>
          <w:iCs/>
        </w:rPr>
      </w:pPr>
      <w:r w:rsidRPr="002E351B">
        <w:rPr>
          <w:rFonts w:eastAsia="Calibri"/>
          <w:iCs/>
        </w:rPr>
        <w:t xml:space="preserve">Mr. Youssef </w:t>
      </w:r>
      <w:proofErr w:type="spellStart"/>
      <w:r w:rsidRPr="002E351B">
        <w:rPr>
          <w:rFonts w:eastAsia="Calibri"/>
          <w:iCs/>
        </w:rPr>
        <w:t>Zidi</w:t>
      </w:r>
      <w:proofErr w:type="spellEnd"/>
      <w:r w:rsidRPr="002E351B">
        <w:rPr>
          <w:rFonts w:eastAsia="Calibri"/>
          <w:iCs/>
        </w:rPr>
        <w:t xml:space="preserve"> (Tunisia)</w:t>
      </w:r>
    </w:p>
    <w:p w:rsidR="009D56D8" w:rsidRPr="002E351B" w:rsidRDefault="009D56D8" w:rsidP="009D56D8">
      <w:pPr>
        <w:spacing w:after="120"/>
        <w:ind w:left="2495" w:hanging="624"/>
        <w:rPr>
          <w:rFonts w:eastAsia="Calibri"/>
          <w:iCs/>
        </w:rPr>
      </w:pPr>
      <w:r w:rsidRPr="002E351B">
        <w:rPr>
          <w:rFonts w:eastAsia="Calibri"/>
          <w:iCs/>
        </w:rPr>
        <w:t xml:space="preserve">Mr. Daniel William </w:t>
      </w:r>
      <w:proofErr w:type="spellStart"/>
      <w:r w:rsidRPr="002E351B">
        <w:rPr>
          <w:rFonts w:eastAsia="Calibri"/>
          <w:iCs/>
        </w:rPr>
        <w:t>Ndiyo</w:t>
      </w:r>
      <w:proofErr w:type="spellEnd"/>
      <w:r w:rsidRPr="002E351B">
        <w:rPr>
          <w:rFonts w:eastAsia="Calibri"/>
          <w:iCs/>
        </w:rPr>
        <w:t xml:space="preserve"> (United Republic of Tanzania) </w:t>
      </w:r>
    </w:p>
    <w:p w:rsidR="009D56D8" w:rsidRPr="002E351B" w:rsidRDefault="009D56D8" w:rsidP="009D56D8">
      <w:pPr>
        <w:spacing w:after="120"/>
        <w:ind w:left="1871" w:hanging="624"/>
        <w:rPr>
          <w:rFonts w:eastAsia="Calibri"/>
          <w:b/>
          <w:bCs/>
          <w:iCs/>
        </w:rPr>
      </w:pPr>
      <w:r w:rsidRPr="002E351B">
        <w:rPr>
          <w:rFonts w:eastAsia="Calibri"/>
          <w:b/>
          <w:bCs/>
          <w:iCs/>
        </w:rPr>
        <w:t>Asia-Pacific States</w:t>
      </w:r>
    </w:p>
    <w:p w:rsidR="009D56D8" w:rsidRPr="002E351B" w:rsidRDefault="009D56D8" w:rsidP="009D56D8">
      <w:pPr>
        <w:ind w:left="2495" w:hanging="624"/>
        <w:rPr>
          <w:rFonts w:eastAsia="Calibri"/>
          <w:iCs/>
        </w:rPr>
      </w:pPr>
      <w:r w:rsidRPr="002E351B">
        <w:rPr>
          <w:rFonts w:eastAsia="Calibri"/>
          <w:iCs/>
        </w:rPr>
        <w:t xml:space="preserve">Ms. </w:t>
      </w:r>
      <w:proofErr w:type="spellStart"/>
      <w:r w:rsidRPr="002E351B">
        <w:rPr>
          <w:rFonts w:eastAsia="Calibri"/>
          <w:iCs/>
        </w:rPr>
        <w:t>Yenny</w:t>
      </w:r>
      <w:proofErr w:type="spellEnd"/>
      <w:r w:rsidRPr="002E351B">
        <w:rPr>
          <w:rFonts w:eastAsia="Calibri"/>
          <w:iCs/>
        </w:rPr>
        <w:t xml:space="preserve"> </w:t>
      </w:r>
      <w:proofErr w:type="spellStart"/>
      <w:r w:rsidRPr="002E351B">
        <w:rPr>
          <w:rFonts w:eastAsia="Calibri"/>
          <w:iCs/>
        </w:rPr>
        <w:t>Meliana</w:t>
      </w:r>
      <w:proofErr w:type="spellEnd"/>
      <w:r w:rsidRPr="002E351B">
        <w:rPr>
          <w:rFonts w:eastAsia="Calibri"/>
          <w:iCs/>
        </w:rPr>
        <w:t xml:space="preserve"> (Indonesia) </w:t>
      </w:r>
    </w:p>
    <w:p w:rsidR="009D56D8" w:rsidRPr="002E351B" w:rsidRDefault="009D56D8" w:rsidP="009D56D8">
      <w:pPr>
        <w:ind w:left="2495" w:hanging="624"/>
        <w:rPr>
          <w:rFonts w:eastAsia="Calibri"/>
          <w:iCs/>
        </w:rPr>
      </w:pPr>
      <w:r w:rsidRPr="002E351B">
        <w:rPr>
          <w:rFonts w:eastAsia="Calibri"/>
          <w:iCs/>
        </w:rPr>
        <w:t xml:space="preserve">Mr. Hassan </w:t>
      </w:r>
      <w:proofErr w:type="spellStart"/>
      <w:r w:rsidRPr="002E351B">
        <w:rPr>
          <w:rFonts w:eastAsia="Calibri"/>
          <w:iCs/>
        </w:rPr>
        <w:t>Azhar</w:t>
      </w:r>
      <w:proofErr w:type="spellEnd"/>
      <w:r w:rsidRPr="002E351B">
        <w:rPr>
          <w:rFonts w:eastAsia="Calibri"/>
          <w:iCs/>
        </w:rPr>
        <w:t xml:space="preserve"> (Maldives) </w:t>
      </w:r>
    </w:p>
    <w:p w:rsidR="009D56D8" w:rsidRPr="002E351B" w:rsidRDefault="009D56D8" w:rsidP="009D56D8">
      <w:pPr>
        <w:ind w:left="2495" w:hanging="624"/>
        <w:rPr>
          <w:rFonts w:eastAsia="Calibri"/>
          <w:iCs/>
        </w:rPr>
      </w:pPr>
      <w:r w:rsidRPr="002E351B">
        <w:rPr>
          <w:rFonts w:eastAsia="Calibri"/>
          <w:iCs/>
        </w:rPr>
        <w:t xml:space="preserve">Mr. Jayakody A. </w:t>
      </w:r>
      <w:proofErr w:type="spellStart"/>
      <w:r w:rsidRPr="002E351B">
        <w:rPr>
          <w:rFonts w:eastAsia="Calibri"/>
          <w:iCs/>
        </w:rPr>
        <w:t>Sumith</w:t>
      </w:r>
      <w:proofErr w:type="spellEnd"/>
      <w:r w:rsidRPr="002E351B">
        <w:rPr>
          <w:rFonts w:eastAsia="Calibri"/>
          <w:iCs/>
        </w:rPr>
        <w:t xml:space="preserve"> (Sri Lanka) </w:t>
      </w:r>
    </w:p>
    <w:p w:rsidR="009D56D8" w:rsidRPr="002E351B" w:rsidRDefault="009D56D8" w:rsidP="009D56D8">
      <w:pPr>
        <w:spacing w:after="120"/>
        <w:ind w:left="2495" w:hanging="624"/>
        <w:rPr>
          <w:rFonts w:eastAsia="Calibri"/>
          <w:iCs/>
        </w:rPr>
      </w:pPr>
      <w:r w:rsidRPr="002E351B">
        <w:rPr>
          <w:rFonts w:eastAsia="Calibri"/>
          <w:iCs/>
        </w:rPr>
        <w:t xml:space="preserve">Mr. Dinesh </w:t>
      </w:r>
      <w:proofErr w:type="spellStart"/>
      <w:r w:rsidRPr="002E351B">
        <w:rPr>
          <w:rFonts w:eastAsia="Calibri"/>
          <w:iCs/>
        </w:rPr>
        <w:t>Runiwal</w:t>
      </w:r>
      <w:proofErr w:type="spellEnd"/>
      <w:r w:rsidRPr="002E351B">
        <w:rPr>
          <w:rFonts w:eastAsia="Calibri"/>
          <w:iCs/>
        </w:rPr>
        <w:t xml:space="preserve"> (India) </w:t>
      </w:r>
    </w:p>
    <w:p w:rsidR="009D56D8" w:rsidRPr="002E351B" w:rsidRDefault="009D56D8" w:rsidP="009D56D8">
      <w:pPr>
        <w:spacing w:after="120"/>
        <w:ind w:left="1871" w:hanging="624"/>
        <w:rPr>
          <w:rFonts w:eastAsia="Calibri"/>
          <w:b/>
          <w:bCs/>
          <w:iCs/>
        </w:rPr>
      </w:pPr>
      <w:r w:rsidRPr="002E351B">
        <w:rPr>
          <w:rFonts w:eastAsia="Calibri"/>
          <w:b/>
          <w:bCs/>
          <w:iCs/>
        </w:rPr>
        <w:t>Central and Eastern European States</w:t>
      </w:r>
    </w:p>
    <w:p w:rsidR="009D56D8" w:rsidRPr="002E351B" w:rsidRDefault="009D56D8" w:rsidP="009D56D8">
      <w:pPr>
        <w:spacing w:after="120"/>
        <w:ind w:left="2495" w:hanging="624"/>
        <w:rPr>
          <w:rFonts w:eastAsia="Calibri"/>
          <w:iCs/>
        </w:rPr>
      </w:pPr>
      <w:r w:rsidRPr="002E351B">
        <w:rPr>
          <w:rFonts w:eastAsia="Calibri"/>
          <w:iCs/>
        </w:rPr>
        <w:t xml:space="preserve">Ms. Anahit </w:t>
      </w:r>
      <w:proofErr w:type="spellStart"/>
      <w:r w:rsidRPr="002E351B">
        <w:rPr>
          <w:rFonts w:eastAsia="Calibri"/>
          <w:iCs/>
        </w:rPr>
        <w:t>Aleksandryan</w:t>
      </w:r>
      <w:proofErr w:type="spellEnd"/>
      <w:r w:rsidRPr="002E351B">
        <w:rPr>
          <w:rFonts w:eastAsia="Calibri"/>
          <w:iCs/>
        </w:rPr>
        <w:t xml:space="preserve"> (Armenia) </w:t>
      </w:r>
    </w:p>
    <w:p w:rsidR="009D56D8" w:rsidRPr="002E351B" w:rsidRDefault="009D56D8" w:rsidP="009D56D8">
      <w:pPr>
        <w:spacing w:after="120"/>
        <w:ind w:left="1871" w:hanging="624"/>
        <w:rPr>
          <w:rFonts w:eastAsia="Calibri"/>
          <w:b/>
          <w:bCs/>
          <w:iCs/>
        </w:rPr>
      </w:pPr>
      <w:r w:rsidRPr="002E351B">
        <w:rPr>
          <w:rFonts w:eastAsia="Calibri"/>
          <w:b/>
          <w:bCs/>
          <w:iCs/>
        </w:rPr>
        <w:t>Latin American and Caribbean States</w:t>
      </w:r>
    </w:p>
    <w:p w:rsidR="009D56D8" w:rsidRPr="002E351B" w:rsidRDefault="009D56D8" w:rsidP="009D56D8">
      <w:pPr>
        <w:ind w:left="2495" w:hanging="624"/>
        <w:rPr>
          <w:rFonts w:eastAsia="Calibri"/>
          <w:iCs/>
        </w:rPr>
      </w:pPr>
      <w:r w:rsidRPr="002E351B">
        <w:rPr>
          <w:rFonts w:eastAsia="Calibri"/>
          <w:iCs/>
        </w:rPr>
        <w:t xml:space="preserve">Ms. Eliana Rosa </w:t>
      </w:r>
      <w:proofErr w:type="spellStart"/>
      <w:r w:rsidRPr="002E351B">
        <w:rPr>
          <w:rFonts w:eastAsia="Calibri"/>
          <w:iCs/>
        </w:rPr>
        <w:t>Munarriz</w:t>
      </w:r>
      <w:proofErr w:type="spellEnd"/>
      <w:r w:rsidRPr="002E351B">
        <w:rPr>
          <w:rFonts w:eastAsia="Calibri"/>
          <w:iCs/>
        </w:rPr>
        <w:t xml:space="preserve"> (Argentina) </w:t>
      </w:r>
    </w:p>
    <w:p w:rsidR="009D56D8" w:rsidRPr="002E351B" w:rsidRDefault="009D56D8" w:rsidP="009D56D8">
      <w:pPr>
        <w:spacing w:after="120"/>
        <w:ind w:left="2495" w:hanging="624"/>
        <w:rPr>
          <w:rFonts w:eastAsia="Calibri"/>
          <w:iCs/>
        </w:rPr>
      </w:pPr>
      <w:r w:rsidRPr="002E351B">
        <w:rPr>
          <w:rFonts w:eastAsia="Calibri"/>
          <w:iCs/>
        </w:rPr>
        <w:t xml:space="preserve">Mr. Jonah Ormond (Antigua and Barbuda) </w:t>
      </w:r>
    </w:p>
    <w:p w:rsidR="009D56D8" w:rsidRPr="002E351B" w:rsidRDefault="009D56D8" w:rsidP="009D56D8">
      <w:pPr>
        <w:spacing w:after="120"/>
        <w:ind w:left="1871" w:hanging="624"/>
        <w:rPr>
          <w:rFonts w:eastAsia="Calibri"/>
          <w:b/>
          <w:bCs/>
          <w:iCs/>
        </w:rPr>
      </w:pPr>
      <w:r w:rsidRPr="002E351B">
        <w:rPr>
          <w:rFonts w:eastAsia="Calibri"/>
          <w:b/>
          <w:bCs/>
          <w:iCs/>
        </w:rPr>
        <w:t>Western European and other States</w:t>
      </w:r>
    </w:p>
    <w:p w:rsidR="009D56D8" w:rsidRPr="002E351B" w:rsidRDefault="009D56D8" w:rsidP="009D56D8">
      <w:pPr>
        <w:ind w:left="2495" w:hanging="624"/>
        <w:rPr>
          <w:rFonts w:eastAsia="Calibri"/>
          <w:iCs/>
        </w:rPr>
      </w:pPr>
      <w:r w:rsidRPr="002E351B">
        <w:rPr>
          <w:rFonts w:eastAsia="Calibri"/>
          <w:iCs/>
        </w:rPr>
        <w:t xml:space="preserve">Mr. Juergen </w:t>
      </w:r>
      <w:proofErr w:type="spellStart"/>
      <w:r w:rsidRPr="002E351B">
        <w:rPr>
          <w:rFonts w:eastAsia="Calibri"/>
          <w:iCs/>
        </w:rPr>
        <w:t>Helbig</w:t>
      </w:r>
      <w:proofErr w:type="spellEnd"/>
      <w:r w:rsidRPr="002E351B">
        <w:rPr>
          <w:rFonts w:eastAsia="Calibri"/>
          <w:iCs/>
        </w:rPr>
        <w:t xml:space="preserve"> (Austria) </w:t>
      </w:r>
    </w:p>
    <w:p w:rsidR="009D56D8" w:rsidRPr="002E351B" w:rsidRDefault="009D56D8" w:rsidP="009D56D8">
      <w:pPr>
        <w:ind w:left="2495" w:hanging="624"/>
        <w:rPr>
          <w:rFonts w:eastAsia="Calibri"/>
          <w:iCs/>
        </w:rPr>
      </w:pPr>
      <w:r w:rsidRPr="002E351B">
        <w:rPr>
          <w:rFonts w:eastAsia="Calibri"/>
          <w:iCs/>
        </w:rPr>
        <w:t xml:space="preserve">Ms. Mara </w:t>
      </w:r>
      <w:proofErr w:type="spellStart"/>
      <w:r w:rsidRPr="002E351B">
        <w:rPr>
          <w:rFonts w:eastAsia="Calibri"/>
          <w:iCs/>
        </w:rPr>
        <w:t>Curaba</w:t>
      </w:r>
      <w:proofErr w:type="spellEnd"/>
      <w:r w:rsidRPr="002E351B">
        <w:rPr>
          <w:rFonts w:eastAsia="Calibri"/>
          <w:iCs/>
        </w:rPr>
        <w:t xml:space="preserve"> (Belgium) </w:t>
      </w:r>
    </w:p>
    <w:p w:rsidR="00F935A6" w:rsidRDefault="009D56D8" w:rsidP="009D56D8">
      <w:pPr>
        <w:spacing w:after="120"/>
        <w:ind w:left="2495" w:hanging="624"/>
      </w:pPr>
      <w:r w:rsidRPr="002E351B">
        <w:rPr>
          <w:rFonts w:eastAsia="Calibri"/>
          <w:iCs/>
        </w:rPr>
        <w:t xml:space="preserve">Ms. Sarah </w:t>
      </w:r>
      <w:proofErr w:type="spellStart"/>
      <w:r w:rsidRPr="002E351B">
        <w:rPr>
          <w:rFonts w:eastAsia="Calibri"/>
          <w:iCs/>
        </w:rPr>
        <w:t>Maillefer</w:t>
      </w:r>
      <w:proofErr w:type="spellEnd"/>
      <w:r w:rsidRPr="002E351B">
        <w:rPr>
          <w:rFonts w:eastAsia="Calibri"/>
          <w:iCs/>
        </w:rPr>
        <w:t xml:space="preserve"> (Switzerland)</w:t>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ECD" w:rsidRDefault="00347ECD" w:rsidP="009D56D8">
      <w:r>
        <w:separator/>
      </w:r>
    </w:p>
  </w:endnote>
  <w:endnote w:type="continuationSeparator" w:id="0">
    <w:p w:rsidR="00347ECD" w:rsidRDefault="00347ECD"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ECD" w:rsidRDefault="00347ECD" w:rsidP="009D56D8">
      <w:r>
        <w:separator/>
      </w:r>
    </w:p>
  </w:footnote>
  <w:footnote w:type="continuationSeparator" w:id="0">
    <w:p w:rsidR="00347ECD" w:rsidRDefault="00347ECD" w:rsidP="009D56D8">
      <w:r>
        <w:continuationSeparator/>
      </w:r>
    </w:p>
  </w:footnote>
  <w:footnote w:id="1">
    <w:p w:rsidR="009D56D8" w:rsidRPr="00C37ED0" w:rsidRDefault="009D56D8" w:rsidP="009D56D8">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1F7854">
        <w:rPr>
          <w:sz w:val="18"/>
          <w:szCs w:val="18"/>
          <w:vertAlign w:val="superscript"/>
        </w:rPr>
        <w:footnoteRef/>
      </w:r>
      <w:r w:rsidRPr="00C37ED0">
        <w:rPr>
          <w:sz w:val="18"/>
          <w:szCs w:val="18"/>
          <w:lang w:val="en-US"/>
        </w:rPr>
        <w:t xml:space="preserve"> UNEP/FAO/RC/CRC.13/19 and UNEP/FAO/RC/CRC.14/10.</w:t>
      </w:r>
    </w:p>
  </w:footnote>
  <w:footnote w:id="2">
    <w:p w:rsidR="009D56D8" w:rsidRPr="00C37ED0" w:rsidRDefault="009D56D8" w:rsidP="009D56D8">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1F7854">
        <w:rPr>
          <w:sz w:val="18"/>
          <w:szCs w:val="18"/>
          <w:vertAlign w:val="superscript"/>
        </w:rPr>
        <w:footnoteRef/>
      </w:r>
      <w:r w:rsidRPr="00C37ED0">
        <w:rPr>
          <w:sz w:val="18"/>
          <w:szCs w:val="18"/>
          <w:lang w:val="en-US"/>
        </w:rPr>
        <w:t xml:space="preserve"> The curricula vitae of these experts are set out in document UNEP/FAO/RC/COP.9/INF/4/Rev.1.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347ECD"/>
    <w:rsid w:val="009D56D8"/>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556</Words>
  <Characters>3173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2019-11-27T15:15:00Z</dcterms:created>
  <dcterms:modified xsi:type="dcterms:W3CDTF">2019-11-27T15:16:00Z</dcterms:modified>
</cp:coreProperties>
</file>