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607B" w:rsidRPr="00A94931" w:rsidRDefault="00F1607B" w:rsidP="00F1607B">
      <w:pPr>
        <w:pStyle w:val="Normal-pool"/>
        <w:tabs>
          <w:tab w:val="clear" w:pos="1247"/>
          <w:tab w:val="clear" w:pos="1814"/>
          <w:tab w:val="clear" w:pos="2381"/>
          <w:tab w:val="clear" w:pos="2948"/>
          <w:tab w:val="clear" w:pos="3515"/>
          <w:tab w:val="clear" w:pos="4082"/>
          <w:tab w:val="left" w:pos="1288"/>
        </w:tabs>
        <w:spacing w:after="120"/>
        <w:ind w:left="1260"/>
        <w:rPr>
          <w:b/>
          <w:sz w:val="28"/>
          <w:szCs w:val="28"/>
          <w:lang w:val="fr-FR"/>
        </w:rPr>
      </w:pPr>
      <w:bookmarkStart w:id="0" w:name="_GoBack"/>
      <w:bookmarkEnd w:id="0"/>
      <w:r w:rsidRPr="00A94931">
        <w:rPr>
          <w:b/>
          <w:sz w:val="28"/>
          <w:szCs w:val="28"/>
          <w:lang w:val="fr-FR"/>
        </w:rPr>
        <w:t>RC-9/2 : Fonctionnement du Comité d’étude des produits chimiques</w:t>
      </w:r>
    </w:p>
    <w:p w:rsidR="00F1607B" w:rsidRPr="00A94931" w:rsidRDefault="00F1607B" w:rsidP="00F1607B">
      <w:pPr>
        <w:pStyle w:val="Normal-pool"/>
        <w:widowControl w:val="0"/>
        <w:tabs>
          <w:tab w:val="clear" w:pos="1247"/>
          <w:tab w:val="clear" w:pos="1814"/>
          <w:tab w:val="clear" w:pos="2381"/>
          <w:tab w:val="clear" w:pos="2948"/>
          <w:tab w:val="clear" w:pos="3515"/>
          <w:tab w:val="left" w:pos="624"/>
        </w:tabs>
        <w:spacing w:after="120"/>
        <w:ind w:left="1871" w:firstLine="5"/>
        <w:rPr>
          <w:iCs/>
          <w:lang w:val="fr-FR"/>
        </w:rPr>
      </w:pPr>
      <w:r w:rsidRPr="00A94931">
        <w:rPr>
          <w:i/>
          <w:iCs/>
          <w:lang w:val="fr-FR"/>
        </w:rPr>
        <w:t>La Conférence des Parties</w:t>
      </w:r>
    </w:p>
    <w:p w:rsidR="00F1607B" w:rsidRPr="00A94931" w:rsidRDefault="00F1607B" w:rsidP="00F1607B">
      <w:pPr>
        <w:pStyle w:val="Normalnumber"/>
        <w:widowControl w:val="0"/>
        <w:numPr>
          <w:ilvl w:val="0"/>
          <w:numId w:val="10"/>
        </w:numPr>
        <w:tabs>
          <w:tab w:val="clear" w:pos="624"/>
          <w:tab w:val="left" w:pos="2268"/>
        </w:tabs>
        <w:ind w:left="1276" w:firstLine="567"/>
        <w:rPr>
          <w:lang w:val="fr-FR"/>
        </w:rPr>
      </w:pPr>
      <w:r w:rsidRPr="00A94931">
        <w:rPr>
          <w:i/>
          <w:iCs/>
          <w:lang w:val="fr-FR"/>
        </w:rPr>
        <w:t xml:space="preserve">Prend note </w:t>
      </w:r>
      <w:r w:rsidRPr="00A94931">
        <w:rPr>
          <w:lang w:val="fr-FR"/>
        </w:rPr>
        <w:t>des informations figurant dans les rapports du Comité d’étude des produits chimiques sur les travaux de ses treizième et quatorzième réunions</w:t>
      </w:r>
      <w:r w:rsidRPr="00A94931">
        <w:rPr>
          <w:rStyle w:val="FootnoteReference"/>
          <w:lang w:val="fr-FR"/>
        </w:rPr>
        <w:footnoteReference w:id="1"/>
      </w:r>
      <w:r w:rsidRPr="00A94931">
        <w:rPr>
          <w:lang w:val="fr-FR"/>
        </w:rPr>
        <w:t> ;</w:t>
      </w:r>
    </w:p>
    <w:p w:rsidR="00F1607B" w:rsidRPr="00A94931" w:rsidRDefault="00F1607B" w:rsidP="00F1607B">
      <w:pPr>
        <w:pStyle w:val="Normalnumber"/>
        <w:widowControl w:val="0"/>
        <w:numPr>
          <w:ilvl w:val="0"/>
          <w:numId w:val="10"/>
        </w:numPr>
        <w:tabs>
          <w:tab w:val="clear" w:pos="624"/>
          <w:tab w:val="left" w:pos="2268"/>
        </w:tabs>
        <w:ind w:left="1276" w:firstLine="567"/>
        <w:rPr>
          <w:color w:val="000000"/>
          <w:lang w:val="fr-FR"/>
        </w:rPr>
      </w:pPr>
      <w:r w:rsidRPr="00A94931">
        <w:rPr>
          <w:i/>
          <w:iCs/>
          <w:lang w:val="fr-FR"/>
        </w:rPr>
        <w:t xml:space="preserve">Rappelle </w:t>
      </w:r>
      <w:r w:rsidRPr="00A94931">
        <w:rPr>
          <w:lang w:val="fr-FR"/>
        </w:rPr>
        <w:t>qu’à l’heure de désigner les experts, il importe que les Parties tiennent compte des responsabilités et des qualifications définies dans le mandat du Comité d’étude des produits chimiques, ainsi que de l’engagement exigé des membres du Comité ;</w:t>
      </w:r>
    </w:p>
    <w:p w:rsidR="00F1607B" w:rsidRPr="00A94931" w:rsidRDefault="00F1607B" w:rsidP="00F1607B">
      <w:pPr>
        <w:pStyle w:val="Normalnumber"/>
        <w:numPr>
          <w:ilvl w:val="0"/>
          <w:numId w:val="10"/>
        </w:numPr>
        <w:tabs>
          <w:tab w:val="clear" w:pos="624"/>
          <w:tab w:val="left" w:pos="2268"/>
        </w:tabs>
        <w:ind w:left="1276" w:firstLine="567"/>
        <w:rPr>
          <w:lang w:val="fr-FR"/>
        </w:rPr>
      </w:pPr>
      <w:r w:rsidRPr="00A94931">
        <w:rPr>
          <w:i/>
          <w:iCs/>
          <w:lang w:val="fr-FR"/>
        </w:rPr>
        <w:t xml:space="preserve">Confirme </w:t>
      </w:r>
      <w:r w:rsidRPr="00A94931">
        <w:rPr>
          <w:lang w:val="fr-FR"/>
        </w:rPr>
        <w:t>la nomination de M. </w:t>
      </w:r>
      <w:proofErr w:type="spellStart"/>
      <w:r w:rsidRPr="00A94931">
        <w:rPr>
          <w:lang w:val="fr-FR"/>
        </w:rPr>
        <w:t>Dinesh</w:t>
      </w:r>
      <w:proofErr w:type="spellEnd"/>
      <w:r w:rsidRPr="00A94931">
        <w:rPr>
          <w:lang w:val="fr-FR"/>
        </w:rPr>
        <w:t xml:space="preserve"> </w:t>
      </w:r>
      <w:proofErr w:type="spellStart"/>
      <w:r w:rsidRPr="00A94931">
        <w:rPr>
          <w:lang w:val="fr-FR"/>
        </w:rPr>
        <w:t>Runiwal</w:t>
      </w:r>
      <w:proofErr w:type="spellEnd"/>
      <w:r w:rsidRPr="00A94931">
        <w:rPr>
          <w:lang w:val="fr-FR"/>
        </w:rPr>
        <w:t xml:space="preserve"> (Inde) en remplacement de M. Manoj Kumar </w:t>
      </w:r>
      <w:proofErr w:type="spellStart"/>
      <w:r w:rsidRPr="00A94931">
        <w:rPr>
          <w:lang w:val="fr-FR"/>
        </w:rPr>
        <w:t>Gangeya</w:t>
      </w:r>
      <w:proofErr w:type="spellEnd"/>
      <w:r w:rsidRPr="00A94931">
        <w:rPr>
          <w:lang w:val="fr-FR"/>
        </w:rPr>
        <w:t xml:space="preserve"> et celle de M. Simon Hoy (Royaume-Uni de Grande-Bretagne et d’Irlande du Nord) en remplacement de Mme Johanna </w:t>
      </w:r>
      <w:proofErr w:type="spellStart"/>
      <w:r w:rsidRPr="00A94931">
        <w:rPr>
          <w:lang w:val="fr-FR"/>
        </w:rPr>
        <w:t>Pelthola-Thies</w:t>
      </w:r>
      <w:proofErr w:type="spellEnd"/>
      <w:r w:rsidRPr="00A94931">
        <w:rPr>
          <w:lang w:val="fr-FR"/>
        </w:rPr>
        <w:t>, lesquels siègeront au Comité pour la durée du mandat de M. </w:t>
      </w:r>
      <w:proofErr w:type="spellStart"/>
      <w:r w:rsidRPr="00A94931">
        <w:rPr>
          <w:lang w:val="fr-FR"/>
        </w:rPr>
        <w:t>Gangeya</w:t>
      </w:r>
      <w:proofErr w:type="spellEnd"/>
      <w:r w:rsidRPr="00A94931">
        <w:rPr>
          <w:lang w:val="fr-FR"/>
        </w:rPr>
        <w:t xml:space="preserve"> et de Mme </w:t>
      </w:r>
      <w:proofErr w:type="spellStart"/>
      <w:r w:rsidRPr="00A94931">
        <w:rPr>
          <w:lang w:val="fr-FR"/>
        </w:rPr>
        <w:t>Pelthola-Thies</w:t>
      </w:r>
      <w:proofErr w:type="spellEnd"/>
      <w:r w:rsidRPr="00A94931">
        <w:rPr>
          <w:lang w:val="fr-FR"/>
        </w:rPr>
        <w:t xml:space="preserve"> restant à courir, soit jusqu’au 30 avril 2020 ;</w:t>
      </w:r>
    </w:p>
    <w:p w:rsidR="00F1607B" w:rsidRPr="00A94931" w:rsidRDefault="00F1607B" w:rsidP="00F1607B">
      <w:pPr>
        <w:pStyle w:val="Normalnumber"/>
        <w:keepNext/>
        <w:keepLines/>
        <w:widowControl w:val="0"/>
        <w:numPr>
          <w:ilvl w:val="0"/>
          <w:numId w:val="10"/>
        </w:numPr>
        <w:tabs>
          <w:tab w:val="clear" w:pos="624"/>
          <w:tab w:val="left" w:pos="2268"/>
        </w:tabs>
        <w:ind w:left="1276" w:firstLine="567"/>
        <w:rPr>
          <w:lang w:val="fr-FR"/>
        </w:rPr>
      </w:pPr>
      <w:r w:rsidRPr="00A94931">
        <w:rPr>
          <w:i/>
          <w:iCs/>
          <w:lang w:val="fr-FR"/>
        </w:rPr>
        <w:t>Confirme également</w:t>
      </w:r>
      <w:r w:rsidRPr="00A94931">
        <w:rPr>
          <w:lang w:val="fr-FR"/>
        </w:rPr>
        <w:t xml:space="preserve"> la nomination de M. Martin Lacroix (Canada) en remplacement de M. </w:t>
      </w:r>
      <w:proofErr w:type="spellStart"/>
      <w:r w:rsidRPr="00A94931">
        <w:rPr>
          <w:lang w:val="fr-FR"/>
        </w:rPr>
        <w:t>Jeffery</w:t>
      </w:r>
      <w:proofErr w:type="spellEnd"/>
      <w:r w:rsidRPr="00A94931">
        <w:rPr>
          <w:lang w:val="fr-FR"/>
        </w:rPr>
        <w:t xml:space="preserve"> Goodman, celle de Mme Gloria Judith </w:t>
      </w:r>
      <w:proofErr w:type="spellStart"/>
      <w:r w:rsidRPr="00A94931">
        <w:rPr>
          <w:lang w:val="fr-FR"/>
        </w:rPr>
        <w:t>Venegas</w:t>
      </w:r>
      <w:proofErr w:type="spellEnd"/>
      <w:r w:rsidRPr="00A94931">
        <w:rPr>
          <w:lang w:val="fr-FR"/>
        </w:rPr>
        <w:t xml:space="preserve"> </w:t>
      </w:r>
      <w:proofErr w:type="spellStart"/>
      <w:r w:rsidRPr="00A94931">
        <w:rPr>
          <w:lang w:val="fr-FR"/>
        </w:rPr>
        <w:t>Calderón</w:t>
      </w:r>
      <w:proofErr w:type="spellEnd"/>
      <w:r w:rsidRPr="00A94931">
        <w:rPr>
          <w:lang w:val="fr-FR"/>
        </w:rPr>
        <w:t xml:space="preserve"> (Équateur) en remplacement de Mme Cristina Salgado, celle de Mme </w:t>
      </w:r>
      <w:proofErr w:type="spellStart"/>
      <w:r w:rsidRPr="00A94931">
        <w:rPr>
          <w:lang w:val="fr-FR"/>
        </w:rPr>
        <w:t>Kristīne</w:t>
      </w:r>
      <w:proofErr w:type="spellEnd"/>
      <w:r w:rsidRPr="00A94931">
        <w:rPr>
          <w:lang w:val="fr-FR"/>
        </w:rPr>
        <w:t xml:space="preserve"> </w:t>
      </w:r>
      <w:proofErr w:type="spellStart"/>
      <w:r w:rsidRPr="00A94931">
        <w:rPr>
          <w:lang w:val="fr-FR"/>
        </w:rPr>
        <w:t>Kazerovska</w:t>
      </w:r>
      <w:proofErr w:type="spellEnd"/>
      <w:r w:rsidRPr="00A94931">
        <w:rPr>
          <w:lang w:val="fr-FR"/>
        </w:rPr>
        <w:t xml:space="preserve"> (Lettonie) en remplacement de Mme </w:t>
      </w:r>
      <w:proofErr w:type="spellStart"/>
      <w:r w:rsidRPr="00A94931">
        <w:rPr>
          <w:lang w:val="fr-FR"/>
        </w:rPr>
        <w:t>Līga</w:t>
      </w:r>
      <w:proofErr w:type="spellEnd"/>
      <w:r w:rsidRPr="00A94931">
        <w:rPr>
          <w:lang w:val="fr-FR"/>
        </w:rPr>
        <w:t xml:space="preserve"> </w:t>
      </w:r>
      <w:proofErr w:type="spellStart"/>
      <w:r w:rsidRPr="00A94931">
        <w:rPr>
          <w:lang w:val="fr-FR"/>
        </w:rPr>
        <w:t>Rubene</w:t>
      </w:r>
      <w:proofErr w:type="spellEnd"/>
      <w:r w:rsidRPr="00A94931">
        <w:rPr>
          <w:lang w:val="fr-FR"/>
        </w:rPr>
        <w:t xml:space="preserve">, celle de M. Muhammad </w:t>
      </w:r>
      <w:proofErr w:type="spellStart"/>
      <w:r w:rsidRPr="00A94931">
        <w:rPr>
          <w:lang w:val="fr-FR"/>
        </w:rPr>
        <w:t>Shakeel</w:t>
      </w:r>
      <w:proofErr w:type="spellEnd"/>
      <w:r w:rsidRPr="00A94931">
        <w:rPr>
          <w:lang w:val="fr-FR"/>
        </w:rPr>
        <w:t xml:space="preserve"> Malik (Pakistan) en remplacement de M. </w:t>
      </w:r>
      <w:proofErr w:type="spellStart"/>
      <w:r w:rsidRPr="00A94931">
        <w:rPr>
          <w:lang w:val="fr-FR"/>
        </w:rPr>
        <w:t>Iftikhar</w:t>
      </w:r>
      <w:proofErr w:type="spellEnd"/>
      <w:r w:rsidRPr="00A94931">
        <w:rPr>
          <w:lang w:val="fr-FR"/>
        </w:rPr>
        <w:t>-</w:t>
      </w:r>
      <w:proofErr w:type="spellStart"/>
      <w:r w:rsidRPr="00A94931">
        <w:rPr>
          <w:lang w:val="fr-FR"/>
        </w:rPr>
        <w:t>ul</w:t>
      </w:r>
      <w:proofErr w:type="spellEnd"/>
      <w:r w:rsidRPr="00A94931">
        <w:rPr>
          <w:lang w:val="fr-FR"/>
        </w:rPr>
        <w:t xml:space="preserve">-Hassan Shah </w:t>
      </w:r>
      <w:proofErr w:type="spellStart"/>
      <w:r w:rsidRPr="00A94931">
        <w:rPr>
          <w:lang w:val="fr-FR"/>
        </w:rPr>
        <w:t>Gilani</w:t>
      </w:r>
      <w:proofErr w:type="spellEnd"/>
      <w:r w:rsidRPr="00A94931">
        <w:rPr>
          <w:lang w:val="fr-FR"/>
        </w:rPr>
        <w:t xml:space="preserve"> et celle de Mme Agnieszka </w:t>
      </w:r>
      <w:proofErr w:type="spellStart"/>
      <w:r w:rsidRPr="00A94931">
        <w:rPr>
          <w:lang w:val="fr-FR"/>
        </w:rPr>
        <w:t>Jankowska</w:t>
      </w:r>
      <w:proofErr w:type="spellEnd"/>
      <w:r w:rsidRPr="00A94931">
        <w:rPr>
          <w:lang w:val="fr-FR"/>
        </w:rPr>
        <w:t xml:space="preserve"> (Pologne) en remplacement de Mme Dorota </w:t>
      </w:r>
      <w:proofErr w:type="spellStart"/>
      <w:r w:rsidRPr="00A94931">
        <w:rPr>
          <w:lang w:val="fr-FR"/>
        </w:rPr>
        <w:t>Wiaderna</w:t>
      </w:r>
      <w:proofErr w:type="spellEnd"/>
      <w:r w:rsidRPr="00A94931">
        <w:rPr>
          <w:lang w:val="fr-FR"/>
        </w:rPr>
        <w:t>, lesquels siègeront au Comité pour la durée du mandat de M. Goodman, de Mme Salgado, de Mme </w:t>
      </w:r>
      <w:proofErr w:type="spellStart"/>
      <w:r w:rsidRPr="00A94931">
        <w:rPr>
          <w:lang w:val="fr-FR"/>
        </w:rPr>
        <w:t>Rubene</w:t>
      </w:r>
      <w:proofErr w:type="spellEnd"/>
      <w:r w:rsidRPr="00A94931">
        <w:rPr>
          <w:lang w:val="fr-FR"/>
        </w:rPr>
        <w:t>, de M. </w:t>
      </w:r>
      <w:proofErr w:type="spellStart"/>
      <w:r w:rsidRPr="00A94931">
        <w:rPr>
          <w:lang w:val="fr-FR"/>
        </w:rPr>
        <w:t>Gilani</w:t>
      </w:r>
      <w:proofErr w:type="spellEnd"/>
      <w:r w:rsidRPr="00A94931">
        <w:rPr>
          <w:lang w:val="fr-FR"/>
        </w:rPr>
        <w:t xml:space="preserve"> et de Mme </w:t>
      </w:r>
      <w:proofErr w:type="spellStart"/>
      <w:r w:rsidRPr="00A94931">
        <w:rPr>
          <w:lang w:val="fr-FR"/>
        </w:rPr>
        <w:t>Wiaderna</w:t>
      </w:r>
      <w:proofErr w:type="spellEnd"/>
      <w:r w:rsidRPr="00A94931">
        <w:rPr>
          <w:lang w:val="fr-FR"/>
        </w:rPr>
        <w:t xml:space="preserve"> restant à courir, soit jusqu’au 30 avril 2022 ;</w:t>
      </w:r>
    </w:p>
    <w:p w:rsidR="00F1607B" w:rsidRPr="00A94931" w:rsidRDefault="00F1607B" w:rsidP="00F1607B">
      <w:pPr>
        <w:pStyle w:val="Normalnumber"/>
        <w:keepNext/>
        <w:keepLines/>
        <w:widowControl w:val="0"/>
        <w:numPr>
          <w:ilvl w:val="0"/>
          <w:numId w:val="10"/>
        </w:numPr>
        <w:tabs>
          <w:tab w:val="clear" w:pos="624"/>
          <w:tab w:val="left" w:pos="2268"/>
        </w:tabs>
        <w:ind w:left="1276" w:firstLine="567"/>
        <w:rPr>
          <w:lang w:val="fr-FR"/>
        </w:rPr>
      </w:pPr>
      <w:r w:rsidRPr="00A94931">
        <w:rPr>
          <w:i/>
          <w:iCs/>
          <w:lang w:val="fr-FR"/>
        </w:rPr>
        <w:t>Nomme</w:t>
      </w:r>
      <w:r w:rsidRPr="00A94931">
        <w:rPr>
          <w:lang w:val="fr-FR"/>
        </w:rPr>
        <w:t xml:space="preserve"> les 14 experts désignés dont le nom figure dans l’annexe de la présente décision, qui siègeront au Comité du 1</w:t>
      </w:r>
      <w:r w:rsidRPr="00A94931">
        <w:rPr>
          <w:vertAlign w:val="superscript"/>
          <w:lang w:val="fr-FR"/>
        </w:rPr>
        <w:t>er</w:t>
      </w:r>
      <w:r w:rsidRPr="00A94931">
        <w:rPr>
          <w:lang w:val="fr-FR"/>
        </w:rPr>
        <w:t> mai 2020 au 30 avril 2024</w:t>
      </w:r>
      <w:r w:rsidRPr="00A94931">
        <w:rPr>
          <w:rStyle w:val="FootnoteReference"/>
          <w:lang w:val="fr-FR"/>
        </w:rPr>
        <w:footnoteReference w:id="2"/>
      </w:r>
      <w:r w:rsidRPr="00A94931">
        <w:rPr>
          <w:lang w:val="fr-FR"/>
        </w:rPr>
        <w:t> ;</w:t>
      </w:r>
    </w:p>
    <w:p w:rsidR="00F1607B" w:rsidRPr="00A94931" w:rsidRDefault="00F1607B" w:rsidP="00F1607B">
      <w:pPr>
        <w:pStyle w:val="Normalnumber"/>
        <w:keepNext/>
        <w:keepLines/>
        <w:widowControl w:val="0"/>
        <w:numPr>
          <w:ilvl w:val="0"/>
          <w:numId w:val="10"/>
        </w:numPr>
        <w:tabs>
          <w:tab w:val="clear" w:pos="624"/>
          <w:tab w:val="left" w:pos="2268"/>
        </w:tabs>
        <w:ind w:left="1276" w:firstLine="567"/>
        <w:rPr>
          <w:lang w:val="fr-FR"/>
        </w:rPr>
      </w:pPr>
      <w:r w:rsidRPr="00A94931">
        <w:rPr>
          <w:i/>
          <w:iCs/>
          <w:lang w:val="fr-FR"/>
        </w:rPr>
        <w:t>Élit</w:t>
      </w:r>
      <w:r w:rsidRPr="00A94931">
        <w:rPr>
          <w:lang w:val="fr-FR"/>
        </w:rPr>
        <w:t xml:space="preserve"> à la présidence du Comité Mme </w:t>
      </w:r>
      <w:proofErr w:type="spellStart"/>
      <w:r w:rsidRPr="00A94931">
        <w:rPr>
          <w:lang w:val="fr-FR"/>
        </w:rPr>
        <w:t>Noluzuko</w:t>
      </w:r>
      <w:proofErr w:type="spellEnd"/>
      <w:r w:rsidRPr="00A94931">
        <w:rPr>
          <w:lang w:val="fr-FR"/>
        </w:rPr>
        <w:t xml:space="preserve"> </w:t>
      </w:r>
      <w:proofErr w:type="spellStart"/>
      <w:r w:rsidRPr="00A94931">
        <w:rPr>
          <w:lang w:val="fr-FR"/>
        </w:rPr>
        <w:t>Gwayi</w:t>
      </w:r>
      <w:proofErr w:type="spellEnd"/>
      <w:r w:rsidRPr="00A94931">
        <w:rPr>
          <w:lang w:val="fr-FR"/>
        </w:rPr>
        <w:t xml:space="preserve"> (Afrique du Sud) ;</w:t>
      </w:r>
    </w:p>
    <w:p w:rsidR="00F1607B" w:rsidRPr="00A94931" w:rsidRDefault="00F1607B" w:rsidP="00F1607B">
      <w:pPr>
        <w:pStyle w:val="Normalnumber"/>
        <w:keepNext/>
        <w:keepLines/>
        <w:widowControl w:val="0"/>
        <w:numPr>
          <w:ilvl w:val="0"/>
          <w:numId w:val="10"/>
        </w:numPr>
        <w:tabs>
          <w:tab w:val="clear" w:pos="624"/>
          <w:tab w:val="left" w:pos="2268"/>
        </w:tabs>
        <w:ind w:left="1276" w:firstLine="567"/>
        <w:rPr>
          <w:lang w:val="fr-FR"/>
        </w:rPr>
      </w:pPr>
      <w:r w:rsidRPr="00A94931">
        <w:rPr>
          <w:i/>
          <w:lang w:val="fr-FR"/>
        </w:rPr>
        <w:t xml:space="preserve">Se félicite </w:t>
      </w:r>
      <w:r w:rsidRPr="00A94931">
        <w:rPr>
          <w:lang w:val="fr-FR"/>
        </w:rPr>
        <w:t>du séminaire d’</w:t>
      </w:r>
      <w:r w:rsidRPr="00A94931">
        <w:rPr>
          <w:iCs/>
          <w:lang w:val="fr-FR"/>
        </w:rPr>
        <w:t>orientation organisé par le Secrétariat pour les nouveaux membres et prie celui-ci</w:t>
      </w:r>
      <w:r w:rsidRPr="00A94931">
        <w:rPr>
          <w:lang w:val="fr-FR"/>
        </w:rPr>
        <w:t xml:space="preserve"> d’élaborer et d’entreprendre, sous réserve de la disponibilité de ressources, des activités de formation dans le cadre du plan d’assistance technique pour les membres nouveaux et actuels, en envisageant des techniques de prestation et canaux d’information différents, notamment des ateliers et des outils d’apprentissage en ligne, et de lui faire rapport sur les résultats obtenus à sa dixième réunion ;  </w:t>
      </w:r>
    </w:p>
    <w:p w:rsidR="00F1607B" w:rsidRPr="00A94931" w:rsidRDefault="00F1607B" w:rsidP="00F1607B">
      <w:pPr>
        <w:pStyle w:val="Normalnumber"/>
        <w:keepNext/>
        <w:keepLines/>
        <w:widowControl w:val="0"/>
        <w:numPr>
          <w:ilvl w:val="0"/>
          <w:numId w:val="10"/>
        </w:numPr>
        <w:tabs>
          <w:tab w:val="clear" w:pos="624"/>
          <w:tab w:val="left" w:pos="2268"/>
        </w:tabs>
        <w:ind w:left="1276" w:firstLine="567"/>
        <w:rPr>
          <w:lang w:val="fr-FR"/>
        </w:rPr>
      </w:pPr>
      <w:r w:rsidRPr="00A94931">
        <w:rPr>
          <w:i/>
          <w:lang w:val="fr-FR"/>
        </w:rPr>
        <w:t xml:space="preserve">Se félicite également </w:t>
      </w:r>
      <w:r w:rsidRPr="00A94931">
        <w:rPr>
          <w:lang w:val="fr-FR"/>
        </w:rPr>
        <w:t xml:space="preserve">des recommandations formulées par le </w:t>
      </w:r>
      <w:r w:rsidRPr="00A94931">
        <w:rPr>
          <w:iCs/>
          <w:lang w:val="fr-FR"/>
        </w:rPr>
        <w:t xml:space="preserve">Secrétariat dans le document UNEP/FAO/RC/COP.9/INF/18 en vue d’améliorer la participation aux travaux du Comité d’étude des produits chimiques ainsi que l’ouverture et la transparence du processus ; </w:t>
      </w:r>
    </w:p>
    <w:p w:rsidR="00F1607B" w:rsidRPr="00A94931" w:rsidRDefault="00F1607B" w:rsidP="00F1607B">
      <w:pPr>
        <w:pStyle w:val="Normalnumber"/>
        <w:keepNext/>
        <w:keepLines/>
        <w:widowControl w:val="0"/>
        <w:numPr>
          <w:ilvl w:val="0"/>
          <w:numId w:val="10"/>
        </w:numPr>
        <w:tabs>
          <w:tab w:val="clear" w:pos="624"/>
          <w:tab w:val="left" w:pos="2268"/>
        </w:tabs>
        <w:ind w:left="1276" w:firstLine="567"/>
        <w:rPr>
          <w:lang w:val="fr-FR"/>
        </w:rPr>
      </w:pPr>
      <w:r w:rsidRPr="00A94931">
        <w:rPr>
          <w:i/>
          <w:lang w:val="fr-FR"/>
        </w:rPr>
        <w:t xml:space="preserve">Prie </w:t>
      </w:r>
      <w:r w:rsidRPr="00A94931">
        <w:rPr>
          <w:lang w:val="fr-FR"/>
        </w:rPr>
        <w:t xml:space="preserve">le Secrétariat de lui faire rapport à sa dixième réunion sur l’application des recommandations visant à améliorer la participation aux travaux du Comité ainsi que l’ouverture et la transparence, comme indiqué dans le document UNEP/FAO/RC/COP.9/INF/18, en particulier sur les mesures visant à accroître la participation des experts, des Parties et des observateurs ; </w:t>
      </w:r>
    </w:p>
    <w:p w:rsidR="00F1607B" w:rsidRPr="00A94931" w:rsidRDefault="00F1607B" w:rsidP="00F1607B">
      <w:pPr>
        <w:pStyle w:val="Normalnumber"/>
        <w:keepNext/>
        <w:keepLines/>
        <w:widowControl w:val="0"/>
        <w:numPr>
          <w:ilvl w:val="0"/>
          <w:numId w:val="10"/>
        </w:numPr>
        <w:tabs>
          <w:tab w:val="clear" w:pos="624"/>
          <w:tab w:val="left" w:pos="2268"/>
        </w:tabs>
        <w:ind w:left="1276" w:firstLine="567"/>
        <w:rPr>
          <w:lang w:val="fr-FR"/>
        </w:rPr>
      </w:pPr>
      <w:r w:rsidRPr="00A94931">
        <w:rPr>
          <w:i/>
          <w:iCs/>
          <w:lang w:val="fr-FR"/>
        </w:rPr>
        <w:t xml:space="preserve">Prie également </w:t>
      </w:r>
      <w:r w:rsidRPr="00A94931">
        <w:rPr>
          <w:lang w:val="fr-FR"/>
        </w:rPr>
        <w:t>le Secrétariat de traduire, sous réserve de la disponibilité de ressources, le Guide de poche pour une participation effective aux travaux du Comité d’étude des produits chimiques au titre de la Convention de Rotterdam et le Manuel relatif aux méthodes de travail et aux orientations à l’usage du Comité d’étude des produits chimiques.</w:t>
      </w:r>
    </w:p>
    <w:p w:rsidR="00F1607B" w:rsidRPr="00A94931" w:rsidRDefault="00F1607B" w:rsidP="00F1607B">
      <w:pPr>
        <w:pStyle w:val="Normalnumber"/>
        <w:keepNext/>
        <w:keepLines/>
        <w:widowControl w:val="0"/>
        <w:numPr>
          <w:ilvl w:val="0"/>
          <w:numId w:val="0"/>
        </w:numPr>
        <w:tabs>
          <w:tab w:val="clear" w:pos="624"/>
          <w:tab w:val="left" w:pos="2268"/>
        </w:tabs>
        <w:ind w:left="1843"/>
        <w:rPr>
          <w:lang w:val="fr-FR"/>
        </w:rPr>
      </w:pPr>
    </w:p>
    <w:p w:rsidR="00F1607B" w:rsidRPr="00A94931" w:rsidRDefault="00F1607B" w:rsidP="00F1607B">
      <w:pPr>
        <w:tabs>
          <w:tab w:val="clear" w:pos="1247"/>
          <w:tab w:val="clear" w:pos="1814"/>
          <w:tab w:val="clear" w:pos="2381"/>
          <w:tab w:val="clear" w:pos="2948"/>
          <w:tab w:val="clear" w:pos="3515"/>
          <w:tab w:val="left" w:pos="2268"/>
        </w:tabs>
      </w:pPr>
      <w:r w:rsidRPr="00A94931">
        <w:br w:type="page"/>
      </w:r>
    </w:p>
    <w:p w:rsidR="00F1607B" w:rsidRPr="00A94931" w:rsidRDefault="00F1607B" w:rsidP="00F1607B">
      <w:pPr>
        <w:pStyle w:val="Normalnumber"/>
        <w:keepNext/>
        <w:widowControl w:val="0"/>
        <w:numPr>
          <w:ilvl w:val="0"/>
          <w:numId w:val="0"/>
        </w:numPr>
        <w:spacing w:before="240"/>
        <w:ind w:left="1860"/>
        <w:rPr>
          <w:b/>
          <w:bCs/>
          <w:iCs/>
          <w:sz w:val="28"/>
          <w:szCs w:val="28"/>
          <w:lang w:val="fr-FR"/>
        </w:rPr>
      </w:pPr>
      <w:r w:rsidRPr="00A94931">
        <w:rPr>
          <w:b/>
          <w:bCs/>
          <w:sz w:val="28"/>
          <w:szCs w:val="28"/>
          <w:lang w:val="fr-FR"/>
        </w:rPr>
        <w:lastRenderedPageBreak/>
        <w:t>Annexe à la décision RC-9/2</w:t>
      </w:r>
    </w:p>
    <w:p w:rsidR="00F1607B" w:rsidRPr="00A94931" w:rsidRDefault="00F1607B" w:rsidP="00F1607B">
      <w:pPr>
        <w:pStyle w:val="Normalnumber"/>
        <w:keepNext/>
        <w:widowControl w:val="0"/>
        <w:numPr>
          <w:ilvl w:val="0"/>
          <w:numId w:val="0"/>
        </w:numPr>
        <w:ind w:left="1860"/>
        <w:rPr>
          <w:b/>
          <w:bCs/>
          <w:iCs/>
          <w:sz w:val="28"/>
          <w:szCs w:val="28"/>
          <w:lang w:val="fr-FR"/>
        </w:rPr>
      </w:pPr>
      <w:r w:rsidRPr="00A94931">
        <w:rPr>
          <w:b/>
          <w:bCs/>
          <w:sz w:val="28"/>
          <w:szCs w:val="28"/>
          <w:lang w:val="fr-FR"/>
        </w:rPr>
        <w:t>Membres du Comité d’étude des produits chimiques nommés par la Conférence des Parties à sa neuvième réunion dont le mandat prendra effet le 1</w:t>
      </w:r>
      <w:r w:rsidRPr="00A94931">
        <w:rPr>
          <w:b/>
          <w:bCs/>
          <w:sz w:val="28"/>
          <w:szCs w:val="28"/>
          <w:vertAlign w:val="superscript"/>
          <w:lang w:val="fr-FR"/>
        </w:rPr>
        <w:t>er</w:t>
      </w:r>
      <w:r w:rsidRPr="00A94931">
        <w:rPr>
          <w:b/>
          <w:bCs/>
          <w:sz w:val="28"/>
          <w:szCs w:val="28"/>
          <w:lang w:val="fr-FR"/>
        </w:rPr>
        <w:t> mai 2020</w:t>
      </w:r>
    </w:p>
    <w:p w:rsidR="00F1607B" w:rsidRPr="00A94931" w:rsidRDefault="00F1607B" w:rsidP="00F1607B">
      <w:pPr>
        <w:tabs>
          <w:tab w:val="clear" w:pos="2381"/>
        </w:tabs>
        <w:spacing w:before="240" w:after="120"/>
        <w:ind w:left="2835" w:hanging="522"/>
        <w:rPr>
          <w:rFonts w:eastAsia="Calibri"/>
          <w:b/>
          <w:bCs/>
          <w:iCs/>
        </w:rPr>
      </w:pPr>
      <w:r w:rsidRPr="00A94931">
        <w:rPr>
          <w:b/>
          <w:bCs/>
        </w:rPr>
        <w:t>États d’Afrique</w:t>
      </w:r>
    </w:p>
    <w:p w:rsidR="00F1607B" w:rsidRPr="00A94931" w:rsidRDefault="00F1607B" w:rsidP="00F1607B">
      <w:pPr>
        <w:tabs>
          <w:tab w:val="clear" w:pos="2381"/>
        </w:tabs>
        <w:spacing w:after="120"/>
        <w:ind w:left="2842" w:firstLine="14"/>
      </w:pPr>
      <w:r w:rsidRPr="00A94931">
        <w:t xml:space="preserve">Mme </w:t>
      </w:r>
      <w:proofErr w:type="spellStart"/>
      <w:r w:rsidRPr="00A94931">
        <w:t>Aïta</w:t>
      </w:r>
      <w:proofErr w:type="spellEnd"/>
      <w:r w:rsidRPr="00A94931">
        <w:t xml:space="preserve"> </w:t>
      </w:r>
      <w:proofErr w:type="spellStart"/>
      <w:r w:rsidRPr="00A94931">
        <w:t>Sarr</w:t>
      </w:r>
      <w:proofErr w:type="spellEnd"/>
      <w:r w:rsidRPr="00A94931">
        <w:t xml:space="preserve"> Seck (Sénégal)</w:t>
      </w:r>
      <w:r w:rsidRPr="00A94931">
        <w:br/>
        <w:t xml:space="preserve">M. </w:t>
      </w:r>
      <w:proofErr w:type="spellStart"/>
      <w:r w:rsidRPr="00A94931">
        <w:t>Clorence</w:t>
      </w:r>
      <w:proofErr w:type="spellEnd"/>
      <w:r w:rsidRPr="00A94931">
        <w:t xml:space="preserve"> </w:t>
      </w:r>
      <w:proofErr w:type="spellStart"/>
      <w:r w:rsidRPr="00A94931">
        <w:t>Matewe</w:t>
      </w:r>
      <w:proofErr w:type="spellEnd"/>
      <w:r w:rsidRPr="00A94931">
        <w:t xml:space="preserve"> (Zimbabwe)¶</w:t>
      </w:r>
      <w:r w:rsidRPr="00A94931">
        <w:br/>
        <w:t>M. Youssef Zidi (Tunisie)¶</w:t>
      </w:r>
      <w:r w:rsidRPr="00A94931">
        <w:br/>
        <w:t xml:space="preserve">M. Daniel William </w:t>
      </w:r>
      <w:proofErr w:type="spellStart"/>
      <w:r w:rsidRPr="00A94931">
        <w:t>Ndiyo</w:t>
      </w:r>
      <w:proofErr w:type="spellEnd"/>
      <w:r w:rsidRPr="00A94931">
        <w:t xml:space="preserve"> (République-Unie de Tanzanie)</w:t>
      </w:r>
    </w:p>
    <w:p w:rsidR="00F1607B" w:rsidRPr="00A94931" w:rsidRDefault="00F1607B" w:rsidP="00F1607B">
      <w:pPr>
        <w:tabs>
          <w:tab w:val="clear" w:pos="2381"/>
        </w:tabs>
        <w:spacing w:after="120"/>
        <w:ind w:left="2835" w:hanging="522"/>
        <w:rPr>
          <w:rFonts w:eastAsia="Calibri"/>
          <w:b/>
          <w:bCs/>
          <w:iCs/>
        </w:rPr>
      </w:pPr>
      <w:r w:rsidRPr="00A94931">
        <w:rPr>
          <w:b/>
          <w:bCs/>
        </w:rPr>
        <w:t>États d’Amérique latine et des Caraïbes</w:t>
      </w:r>
    </w:p>
    <w:p w:rsidR="00F1607B" w:rsidRPr="00A94931" w:rsidRDefault="00F1607B" w:rsidP="00F1607B">
      <w:pPr>
        <w:tabs>
          <w:tab w:val="clear" w:pos="2381"/>
          <w:tab w:val="clear" w:pos="2948"/>
        </w:tabs>
        <w:spacing w:after="120"/>
        <w:ind w:left="2898"/>
        <w:rPr>
          <w:rFonts w:eastAsia="Calibri"/>
          <w:iCs/>
        </w:rPr>
      </w:pPr>
      <w:r w:rsidRPr="00A94931">
        <w:t xml:space="preserve">Mme Eliana Rosa </w:t>
      </w:r>
      <w:proofErr w:type="spellStart"/>
      <w:r w:rsidRPr="00A94931">
        <w:t>Munarriz</w:t>
      </w:r>
      <w:proofErr w:type="spellEnd"/>
      <w:r w:rsidRPr="00A94931">
        <w:t xml:space="preserve"> (Argentine) </w:t>
      </w:r>
      <w:r w:rsidRPr="00A94931">
        <w:br/>
        <w:t>M. Jonah Ormond (Antigua-et-Barbuda)</w:t>
      </w:r>
    </w:p>
    <w:p w:rsidR="00F1607B" w:rsidRPr="00A94931" w:rsidRDefault="00F1607B" w:rsidP="00F1607B">
      <w:pPr>
        <w:tabs>
          <w:tab w:val="clear" w:pos="2381"/>
        </w:tabs>
        <w:spacing w:after="120"/>
        <w:ind w:left="2835" w:hanging="524"/>
        <w:rPr>
          <w:rFonts w:eastAsia="Calibri"/>
          <w:b/>
          <w:bCs/>
          <w:iCs/>
        </w:rPr>
      </w:pPr>
      <w:r w:rsidRPr="00A94931">
        <w:rPr>
          <w:b/>
          <w:bCs/>
        </w:rPr>
        <w:t>États d’Asie et du Pacifique</w:t>
      </w:r>
    </w:p>
    <w:p w:rsidR="00F1607B" w:rsidRPr="003A6E03" w:rsidRDefault="00F1607B" w:rsidP="00F1607B">
      <w:pPr>
        <w:tabs>
          <w:tab w:val="clear" w:pos="2381"/>
          <w:tab w:val="clear" w:pos="2948"/>
          <w:tab w:val="left" w:pos="2856"/>
        </w:tabs>
        <w:spacing w:after="120"/>
        <w:ind w:left="2870" w:hanging="14"/>
        <w:rPr>
          <w:rFonts w:eastAsia="Calibri"/>
          <w:iCs/>
          <w:lang w:val="fr-CH"/>
        </w:rPr>
      </w:pPr>
      <w:r w:rsidRPr="003A6E03">
        <w:rPr>
          <w:lang w:val="fr-CH"/>
        </w:rPr>
        <w:t xml:space="preserve">Mme </w:t>
      </w:r>
      <w:proofErr w:type="spellStart"/>
      <w:r w:rsidRPr="003A6E03">
        <w:rPr>
          <w:lang w:val="fr-CH"/>
        </w:rPr>
        <w:t>Yenny</w:t>
      </w:r>
      <w:proofErr w:type="spellEnd"/>
      <w:r w:rsidRPr="003A6E03">
        <w:rPr>
          <w:lang w:val="fr-CH"/>
        </w:rPr>
        <w:t xml:space="preserve"> </w:t>
      </w:r>
      <w:proofErr w:type="spellStart"/>
      <w:r w:rsidRPr="003A6E03">
        <w:rPr>
          <w:lang w:val="fr-CH"/>
        </w:rPr>
        <w:t>Meliana</w:t>
      </w:r>
      <w:proofErr w:type="spellEnd"/>
      <w:r w:rsidRPr="003A6E03">
        <w:rPr>
          <w:lang w:val="fr-CH"/>
        </w:rPr>
        <w:t xml:space="preserve"> (Indonésie)</w:t>
      </w:r>
      <w:r w:rsidRPr="003A6E03">
        <w:rPr>
          <w:lang w:val="fr-CH"/>
        </w:rPr>
        <w:br/>
        <w:t xml:space="preserve">M. Hassan Azhar (Maldives) </w:t>
      </w:r>
      <w:r w:rsidRPr="003A6E03">
        <w:rPr>
          <w:lang w:val="fr-CH"/>
        </w:rPr>
        <w:br/>
        <w:t xml:space="preserve">M. </w:t>
      </w:r>
      <w:proofErr w:type="spellStart"/>
      <w:r w:rsidRPr="003A6E03">
        <w:rPr>
          <w:lang w:val="fr-CH"/>
        </w:rPr>
        <w:t>Jayakody</w:t>
      </w:r>
      <w:proofErr w:type="spellEnd"/>
      <w:r w:rsidRPr="003A6E03">
        <w:rPr>
          <w:lang w:val="fr-CH"/>
        </w:rPr>
        <w:t xml:space="preserve"> A. </w:t>
      </w:r>
      <w:proofErr w:type="spellStart"/>
      <w:r w:rsidRPr="003A6E03">
        <w:rPr>
          <w:lang w:val="fr-CH"/>
        </w:rPr>
        <w:t>Sumith</w:t>
      </w:r>
      <w:proofErr w:type="spellEnd"/>
      <w:r w:rsidRPr="003A6E03">
        <w:rPr>
          <w:lang w:val="fr-CH"/>
        </w:rPr>
        <w:t xml:space="preserve"> (Sri Lanka) </w:t>
      </w:r>
      <w:r w:rsidRPr="003A6E03">
        <w:rPr>
          <w:lang w:val="fr-CH"/>
        </w:rPr>
        <w:br/>
        <w:t xml:space="preserve">M. </w:t>
      </w:r>
      <w:proofErr w:type="spellStart"/>
      <w:r w:rsidRPr="003A6E03">
        <w:rPr>
          <w:lang w:val="fr-CH"/>
        </w:rPr>
        <w:t>Dinesh</w:t>
      </w:r>
      <w:proofErr w:type="spellEnd"/>
      <w:r w:rsidRPr="003A6E03">
        <w:rPr>
          <w:lang w:val="fr-CH"/>
        </w:rPr>
        <w:t xml:space="preserve"> </w:t>
      </w:r>
      <w:proofErr w:type="spellStart"/>
      <w:r w:rsidRPr="003A6E03">
        <w:rPr>
          <w:lang w:val="fr-CH"/>
        </w:rPr>
        <w:t>Runiwal</w:t>
      </w:r>
      <w:proofErr w:type="spellEnd"/>
      <w:r w:rsidRPr="003A6E03">
        <w:rPr>
          <w:lang w:val="fr-CH"/>
        </w:rPr>
        <w:t xml:space="preserve"> (Inde)</w:t>
      </w:r>
    </w:p>
    <w:p w:rsidR="00F1607B" w:rsidRPr="00A94931" w:rsidRDefault="00F1607B" w:rsidP="00F1607B">
      <w:pPr>
        <w:tabs>
          <w:tab w:val="clear" w:pos="2381"/>
        </w:tabs>
        <w:spacing w:after="120"/>
        <w:ind w:left="2835" w:hanging="524"/>
        <w:rPr>
          <w:rFonts w:eastAsia="Calibri"/>
          <w:b/>
          <w:bCs/>
          <w:iCs/>
        </w:rPr>
      </w:pPr>
      <w:r w:rsidRPr="00A94931">
        <w:rPr>
          <w:b/>
          <w:bCs/>
        </w:rPr>
        <w:t>États d’Europe centrale et orientale</w:t>
      </w:r>
    </w:p>
    <w:p w:rsidR="00F1607B" w:rsidRPr="00A94931" w:rsidRDefault="00F1607B" w:rsidP="00F1607B">
      <w:pPr>
        <w:tabs>
          <w:tab w:val="clear" w:pos="2381"/>
        </w:tabs>
        <w:spacing w:after="120"/>
        <w:ind w:left="2835"/>
        <w:rPr>
          <w:rFonts w:eastAsia="Calibri"/>
          <w:iCs/>
        </w:rPr>
      </w:pPr>
      <w:r w:rsidRPr="00A94931">
        <w:t xml:space="preserve">Mme </w:t>
      </w:r>
      <w:proofErr w:type="spellStart"/>
      <w:r w:rsidRPr="00A94931">
        <w:t>Anahit</w:t>
      </w:r>
      <w:proofErr w:type="spellEnd"/>
      <w:r w:rsidRPr="00A94931">
        <w:t xml:space="preserve"> </w:t>
      </w:r>
      <w:proofErr w:type="spellStart"/>
      <w:r w:rsidRPr="00A94931">
        <w:t>Aleksandryan</w:t>
      </w:r>
      <w:proofErr w:type="spellEnd"/>
      <w:r w:rsidRPr="00A94931">
        <w:t xml:space="preserve"> (Arménie)</w:t>
      </w:r>
    </w:p>
    <w:p w:rsidR="00F1607B" w:rsidRPr="00A94931" w:rsidRDefault="00F1607B" w:rsidP="00F1607B">
      <w:pPr>
        <w:tabs>
          <w:tab w:val="clear" w:pos="2381"/>
        </w:tabs>
        <w:spacing w:after="120"/>
        <w:ind w:left="2835" w:hanging="524"/>
        <w:rPr>
          <w:rFonts w:eastAsia="Calibri"/>
          <w:b/>
          <w:bCs/>
          <w:iCs/>
        </w:rPr>
      </w:pPr>
      <w:r w:rsidRPr="00A94931">
        <w:rPr>
          <w:b/>
          <w:bCs/>
        </w:rPr>
        <w:t>États d’Europe occidentale et autres États</w:t>
      </w:r>
    </w:p>
    <w:p w:rsidR="00F1607B" w:rsidRDefault="00F1607B" w:rsidP="00F1607B">
      <w:pPr>
        <w:pStyle w:val="Normalnumber"/>
        <w:keepNext/>
        <w:widowControl w:val="0"/>
        <w:numPr>
          <w:ilvl w:val="0"/>
          <w:numId w:val="0"/>
        </w:numPr>
        <w:spacing w:before="240"/>
        <w:ind w:left="2856"/>
        <w:rPr>
          <w:lang w:val="fr-FR"/>
        </w:rPr>
      </w:pPr>
      <w:r w:rsidRPr="00A94931">
        <w:rPr>
          <w:lang w:val="fr-FR"/>
        </w:rPr>
        <w:t xml:space="preserve">M. Juergen </w:t>
      </w:r>
      <w:proofErr w:type="spellStart"/>
      <w:r w:rsidRPr="00A94931">
        <w:rPr>
          <w:lang w:val="fr-FR"/>
        </w:rPr>
        <w:t>Helbig</w:t>
      </w:r>
      <w:proofErr w:type="spellEnd"/>
      <w:r w:rsidRPr="00A94931">
        <w:rPr>
          <w:lang w:val="fr-FR"/>
        </w:rPr>
        <w:t xml:space="preserve"> (Autriche) </w:t>
      </w:r>
      <w:r w:rsidRPr="00A94931">
        <w:rPr>
          <w:lang w:val="fr-FR"/>
        </w:rPr>
        <w:br/>
        <w:t xml:space="preserve">Mme </w:t>
      </w:r>
      <w:proofErr w:type="spellStart"/>
      <w:r w:rsidRPr="00A94931">
        <w:rPr>
          <w:lang w:val="fr-FR"/>
        </w:rPr>
        <w:t>Mara</w:t>
      </w:r>
      <w:proofErr w:type="spellEnd"/>
      <w:r w:rsidRPr="00A94931">
        <w:rPr>
          <w:lang w:val="fr-FR"/>
        </w:rPr>
        <w:t xml:space="preserve"> </w:t>
      </w:r>
      <w:proofErr w:type="spellStart"/>
      <w:r w:rsidRPr="00A94931">
        <w:rPr>
          <w:lang w:val="fr-FR"/>
        </w:rPr>
        <w:t>Curaba</w:t>
      </w:r>
      <w:proofErr w:type="spellEnd"/>
      <w:r w:rsidRPr="00A94931">
        <w:rPr>
          <w:lang w:val="fr-FR"/>
        </w:rPr>
        <w:t xml:space="preserve"> (Belgique) </w:t>
      </w:r>
      <w:r w:rsidRPr="00A94931">
        <w:rPr>
          <w:lang w:val="fr-FR"/>
        </w:rPr>
        <w:br/>
        <w:t xml:space="preserve">Mme Sarah </w:t>
      </w:r>
      <w:proofErr w:type="spellStart"/>
      <w:r w:rsidRPr="00A94931">
        <w:rPr>
          <w:lang w:val="fr-FR"/>
        </w:rPr>
        <w:t>Maillefer</w:t>
      </w:r>
      <w:proofErr w:type="spellEnd"/>
      <w:r w:rsidRPr="00A94931">
        <w:rPr>
          <w:lang w:val="fr-FR"/>
        </w:rPr>
        <w:t xml:space="preserve"> (Suisse)</w:t>
      </w:r>
    </w:p>
    <w:p w:rsidR="00F1607B" w:rsidRDefault="00F1607B" w:rsidP="00F1607B">
      <w:pPr>
        <w:pStyle w:val="Normalnumber"/>
        <w:keepNext/>
        <w:widowControl w:val="0"/>
        <w:numPr>
          <w:ilvl w:val="0"/>
          <w:numId w:val="0"/>
        </w:numPr>
        <w:spacing w:before="240"/>
        <w:ind w:left="2856"/>
        <w:rPr>
          <w:lang w:val="fr-FR"/>
        </w:rPr>
      </w:pPr>
    </w:p>
    <w:p w:rsidR="00F1607B" w:rsidRDefault="00F1607B" w:rsidP="00F1607B">
      <w:pPr>
        <w:pStyle w:val="Normalnumber"/>
        <w:keepNext/>
        <w:widowControl w:val="0"/>
        <w:numPr>
          <w:ilvl w:val="0"/>
          <w:numId w:val="0"/>
        </w:numPr>
        <w:spacing w:before="240"/>
        <w:ind w:left="2856"/>
        <w:rPr>
          <w:lang w:val="fr-FR"/>
        </w:rPr>
      </w:pPr>
    </w:p>
    <w:p w:rsidR="00F1607B" w:rsidRDefault="00F1607B" w:rsidP="00F1607B">
      <w:pPr>
        <w:pStyle w:val="Normalnumber"/>
        <w:keepNext/>
        <w:widowControl w:val="0"/>
        <w:numPr>
          <w:ilvl w:val="0"/>
          <w:numId w:val="0"/>
        </w:numPr>
        <w:spacing w:before="240"/>
        <w:ind w:left="2856"/>
        <w:rPr>
          <w:lang w:val="fr-FR"/>
        </w:rPr>
      </w:pPr>
    </w:p>
    <w:sectPr w:rsidR="00F1607B">
      <w:headerReference w:type="even"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1908" w:rsidRDefault="00871908" w:rsidP="00977CAC">
      <w:r>
        <w:separator/>
      </w:r>
    </w:p>
  </w:endnote>
  <w:endnote w:type="continuationSeparator" w:id="0">
    <w:p w:rsidR="00871908" w:rsidRDefault="00871908" w:rsidP="00977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5545999"/>
      <w:docPartObj>
        <w:docPartGallery w:val="Page Numbers (Bottom of Page)"/>
        <w:docPartUnique/>
      </w:docPartObj>
    </w:sdtPr>
    <w:sdtEndPr>
      <w:rPr>
        <w:b/>
        <w:noProof/>
      </w:rPr>
    </w:sdtEndPr>
    <w:sdtContent>
      <w:p w:rsidR="006E4C13" w:rsidRPr="00F112FE" w:rsidRDefault="00871908">
        <w:pPr>
          <w:pStyle w:val="Footer"/>
          <w:rPr>
            <w:b/>
          </w:rPr>
        </w:pPr>
        <w:r w:rsidRPr="00F112FE">
          <w:rPr>
            <w:b/>
          </w:rPr>
          <w:fldChar w:fldCharType="begin"/>
        </w:r>
        <w:r w:rsidRPr="00F112FE">
          <w:rPr>
            <w:b/>
          </w:rPr>
          <w:instrText xml:space="preserve"> PAGE   \* MERGEFORMAT </w:instrText>
        </w:r>
        <w:r w:rsidRPr="00F112FE">
          <w:rPr>
            <w:b/>
          </w:rPr>
          <w:fldChar w:fldCharType="separate"/>
        </w:r>
        <w:r>
          <w:rPr>
            <w:b/>
            <w:noProof/>
          </w:rPr>
          <w:t>4</w:t>
        </w:r>
        <w:r w:rsidRPr="00F112FE">
          <w:rPr>
            <w:b/>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1721094"/>
      <w:docPartObj>
        <w:docPartGallery w:val="Page Numbers (Bottom of Page)"/>
        <w:docPartUnique/>
      </w:docPartObj>
    </w:sdtPr>
    <w:sdtEndPr>
      <w:rPr>
        <w:noProof/>
      </w:rPr>
    </w:sdtEndPr>
    <w:sdtContent>
      <w:p w:rsidR="006E4C13" w:rsidRDefault="00871908">
        <w:pPr>
          <w:pStyle w:val="Footer"/>
          <w:jc w:val="right"/>
        </w:pPr>
        <w:r w:rsidRPr="00F112FE">
          <w:rPr>
            <w:b/>
          </w:rPr>
          <w:fldChar w:fldCharType="begin"/>
        </w:r>
        <w:r w:rsidRPr="00F112FE">
          <w:rPr>
            <w:b/>
          </w:rPr>
          <w:instrText xml:space="preserve"> PAGE   \* MERGEFORMAT </w:instrText>
        </w:r>
        <w:r w:rsidRPr="00F112FE">
          <w:rPr>
            <w:b/>
          </w:rPr>
          <w:fldChar w:fldCharType="separate"/>
        </w:r>
        <w:r>
          <w:rPr>
            <w:b/>
            <w:noProof/>
          </w:rPr>
          <w:t>3</w:t>
        </w:r>
        <w:r w:rsidRPr="00F112FE">
          <w:rPr>
            <w:b/>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4C13" w:rsidRPr="00924160" w:rsidRDefault="00871908" w:rsidP="00924160">
    <w:pPr>
      <w:pStyle w:val="Footer"/>
      <w:rPr>
        <w:sz w:val="20"/>
      </w:rPr>
    </w:pPr>
    <w:r w:rsidRPr="00924160">
      <w:rPr>
        <w:sz w:val="20"/>
      </w:rPr>
      <w:t>K1902808</w:t>
    </w:r>
    <w:r>
      <w:rPr>
        <w:sz w:val="20"/>
      </w:rPr>
      <w:tab/>
    </w:r>
    <w:r>
      <w:rPr>
        <w:sz w:val="20"/>
      </w:rPr>
      <w:t>22</w:t>
    </w:r>
    <w:r>
      <w:rPr>
        <w:sz w:val="20"/>
      </w:rPr>
      <w:t>1119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1908" w:rsidRDefault="00871908" w:rsidP="00977CAC">
      <w:r>
        <w:separator/>
      </w:r>
    </w:p>
  </w:footnote>
  <w:footnote w:type="continuationSeparator" w:id="0">
    <w:p w:rsidR="00871908" w:rsidRDefault="00871908" w:rsidP="00977CAC">
      <w:r>
        <w:continuationSeparator/>
      </w:r>
    </w:p>
  </w:footnote>
  <w:footnote w:id="1">
    <w:p w:rsidR="00F1607B" w:rsidRPr="000D6CF8" w:rsidRDefault="00F1607B" w:rsidP="00F1607B">
      <w:pPr>
        <w:pStyle w:val="FootnoteText"/>
        <w:tabs>
          <w:tab w:val="clear" w:pos="1247"/>
          <w:tab w:val="clear" w:pos="1814"/>
          <w:tab w:val="clear" w:pos="2381"/>
          <w:tab w:val="clear" w:pos="2948"/>
          <w:tab w:val="clear" w:pos="3515"/>
          <w:tab w:val="left" w:pos="624"/>
        </w:tabs>
        <w:rPr>
          <w:szCs w:val="18"/>
        </w:rPr>
      </w:pPr>
      <w:r w:rsidRPr="00267FDD">
        <w:rPr>
          <w:rStyle w:val="FootnoteReference"/>
        </w:rPr>
        <w:footnoteRef/>
      </w:r>
      <w:r w:rsidRPr="000D6CF8">
        <w:t xml:space="preserve"> UNEP/FAO/RC/CRC.13/19 et UNEP/FAO/RC/CRC.14/10.</w:t>
      </w:r>
    </w:p>
  </w:footnote>
  <w:footnote w:id="2">
    <w:p w:rsidR="00F1607B" w:rsidRPr="000D6CF8" w:rsidRDefault="00F1607B" w:rsidP="00F1607B">
      <w:pPr>
        <w:pStyle w:val="FootnoteText"/>
        <w:tabs>
          <w:tab w:val="left" w:pos="624"/>
        </w:tabs>
        <w:rPr>
          <w:szCs w:val="18"/>
        </w:rPr>
      </w:pPr>
      <w:r w:rsidRPr="00267FDD">
        <w:rPr>
          <w:rStyle w:val="FootnoteReference"/>
        </w:rPr>
        <w:footnoteRef/>
      </w:r>
      <w:r w:rsidRPr="000D6CF8">
        <w:t xml:space="preserve"> </w:t>
      </w:r>
      <w:proofErr w:type="gramStart"/>
      <w:r w:rsidRPr="000D6CF8">
        <w:t>Les curriculum</w:t>
      </w:r>
      <w:proofErr w:type="gramEnd"/>
      <w:r w:rsidRPr="000D6CF8">
        <w:t xml:space="preserve"> vitæ des ex</w:t>
      </w:r>
      <w:r>
        <w:t>perts figurent dans le document </w:t>
      </w:r>
      <w:r w:rsidRPr="000D6CF8">
        <w:t>UNEP/FAO/RC/COP.9/INF/</w:t>
      </w:r>
      <w:r>
        <w:t>4/Rev.1</w:t>
      </w:r>
      <w:r w:rsidRPr="000D6CF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4C13" w:rsidRPr="00F112FE" w:rsidRDefault="00871908" w:rsidP="0017315A">
    <w:pPr>
      <w:pStyle w:val="Header"/>
    </w:pPr>
    <w:r w:rsidRPr="00F112FE">
      <w:rPr>
        <w:rStyle w:val="DeltaViewInsertion"/>
        <w:szCs w:val="24"/>
        <w:lang w:val="en-US"/>
      </w:rPr>
      <w:t>UNEP/FAO/RC/COP.9/23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4C13" w:rsidRDefault="00871908" w:rsidP="006A240C">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322341"/>
    <w:multiLevelType w:val="multilevel"/>
    <w:tmpl w:val="2000001D"/>
    <w:styleLink w:val="Styl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2D8505DA"/>
    <w:multiLevelType w:val="multilevel"/>
    <w:tmpl w:val="2000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3C0427F9"/>
    <w:multiLevelType w:val="multilevel"/>
    <w:tmpl w:val="2000001D"/>
    <w:numStyleLink w:val="Style1"/>
  </w:abstractNum>
  <w:abstractNum w:abstractNumId="3" w15:restartNumberingAfterBreak="0">
    <w:nsid w:val="46EF7A42"/>
    <w:multiLevelType w:val="multilevel"/>
    <w:tmpl w:val="4046195C"/>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ascii="Times New Roman" w:eastAsia="Times New Roman" w:hAnsi="Times New Roman" w:cs="Times New Roman"/>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4" w15:restartNumberingAfterBreak="0">
    <w:nsid w:val="52A66A9D"/>
    <w:multiLevelType w:val="multilevel"/>
    <w:tmpl w:val="6BFAB9B0"/>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ascii="Times New Roman" w:hAnsi="Times New Roman" w:hint="default"/>
        <w:color w:val="auto"/>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 w15:restartNumberingAfterBreak="0">
    <w:nsid w:val="6F7C4406"/>
    <w:multiLevelType w:val="hybridMultilevel"/>
    <w:tmpl w:val="B56C81C4"/>
    <w:lvl w:ilvl="0" w:tplc="DAB63988">
      <w:start w:val="1"/>
      <w:numFmt w:val="decimal"/>
      <w:lvlText w:val="%1."/>
      <w:lvlJc w:val="left"/>
      <w:pPr>
        <w:tabs>
          <w:tab w:val="num" w:pos="3215"/>
        </w:tabs>
        <w:ind w:left="3215" w:hanging="360"/>
      </w:pPr>
      <w:rPr>
        <w:i w:val="0"/>
      </w:rPr>
    </w:lvl>
    <w:lvl w:ilvl="1" w:tplc="04090019">
      <w:start w:val="1"/>
      <w:numFmt w:val="lowerLetter"/>
      <w:lvlText w:val="%2."/>
      <w:lvlJc w:val="left"/>
      <w:pPr>
        <w:tabs>
          <w:tab w:val="num" w:pos="3935"/>
        </w:tabs>
        <w:ind w:left="3935" w:hanging="360"/>
      </w:pPr>
    </w:lvl>
    <w:lvl w:ilvl="2" w:tplc="0409001B" w:tentative="1">
      <w:start w:val="1"/>
      <w:numFmt w:val="lowerRoman"/>
      <w:lvlText w:val="%3."/>
      <w:lvlJc w:val="right"/>
      <w:pPr>
        <w:tabs>
          <w:tab w:val="num" w:pos="4655"/>
        </w:tabs>
        <w:ind w:left="4655" w:hanging="180"/>
      </w:pPr>
    </w:lvl>
    <w:lvl w:ilvl="3" w:tplc="0409000F" w:tentative="1">
      <w:start w:val="1"/>
      <w:numFmt w:val="decimal"/>
      <w:lvlText w:val="%4."/>
      <w:lvlJc w:val="left"/>
      <w:pPr>
        <w:tabs>
          <w:tab w:val="num" w:pos="5375"/>
        </w:tabs>
        <w:ind w:left="5375" w:hanging="360"/>
      </w:pPr>
    </w:lvl>
    <w:lvl w:ilvl="4" w:tplc="04090019" w:tentative="1">
      <w:start w:val="1"/>
      <w:numFmt w:val="lowerLetter"/>
      <w:lvlText w:val="%5."/>
      <w:lvlJc w:val="left"/>
      <w:pPr>
        <w:tabs>
          <w:tab w:val="num" w:pos="6095"/>
        </w:tabs>
        <w:ind w:left="6095" w:hanging="360"/>
      </w:pPr>
    </w:lvl>
    <w:lvl w:ilvl="5" w:tplc="0409001B" w:tentative="1">
      <w:start w:val="1"/>
      <w:numFmt w:val="lowerRoman"/>
      <w:lvlText w:val="%6."/>
      <w:lvlJc w:val="right"/>
      <w:pPr>
        <w:tabs>
          <w:tab w:val="num" w:pos="6815"/>
        </w:tabs>
        <w:ind w:left="6815" w:hanging="180"/>
      </w:pPr>
    </w:lvl>
    <w:lvl w:ilvl="6" w:tplc="0409000F" w:tentative="1">
      <w:start w:val="1"/>
      <w:numFmt w:val="decimal"/>
      <w:lvlText w:val="%7."/>
      <w:lvlJc w:val="left"/>
      <w:pPr>
        <w:tabs>
          <w:tab w:val="num" w:pos="7535"/>
        </w:tabs>
        <w:ind w:left="7535" w:hanging="360"/>
      </w:pPr>
    </w:lvl>
    <w:lvl w:ilvl="7" w:tplc="04090019" w:tentative="1">
      <w:start w:val="1"/>
      <w:numFmt w:val="lowerLetter"/>
      <w:lvlText w:val="%8."/>
      <w:lvlJc w:val="left"/>
      <w:pPr>
        <w:tabs>
          <w:tab w:val="num" w:pos="8255"/>
        </w:tabs>
        <w:ind w:left="8255" w:hanging="360"/>
      </w:pPr>
    </w:lvl>
    <w:lvl w:ilvl="8" w:tplc="0409001B" w:tentative="1">
      <w:start w:val="1"/>
      <w:numFmt w:val="lowerRoman"/>
      <w:lvlText w:val="%9."/>
      <w:lvlJc w:val="right"/>
      <w:pPr>
        <w:tabs>
          <w:tab w:val="num" w:pos="8975"/>
        </w:tabs>
        <w:ind w:left="8975" w:hanging="180"/>
      </w:pPr>
    </w:lvl>
  </w:abstractNum>
  <w:abstractNum w:abstractNumId="6" w15:restartNumberingAfterBreak="0">
    <w:nsid w:val="73234B49"/>
    <w:multiLevelType w:val="multilevel"/>
    <w:tmpl w:val="2000001D"/>
    <w:numStyleLink w:val="Style2"/>
  </w:abstractNum>
  <w:num w:numId="1">
    <w:abstractNumId w:val="4"/>
  </w:num>
  <w:num w:numId="2">
    <w:abstractNumId w:val="4"/>
    <w:lvlOverride w:ilvl="0">
      <w:lvl w:ilvl="0">
        <w:start w:val="1"/>
        <w:numFmt w:val="decimal"/>
        <w:pStyle w:val="Normalnumber"/>
        <w:lvlText w:val="%1."/>
        <w:lvlJc w:val="left"/>
        <w:pPr>
          <w:tabs>
            <w:tab w:val="num" w:pos="1134"/>
          </w:tabs>
          <w:ind w:left="1247" w:firstLine="0"/>
        </w:pPr>
        <w:rPr>
          <w:rFonts w:hint="default"/>
        </w:rPr>
      </w:lvl>
    </w:lvlOverride>
  </w:num>
  <w:num w:numId="3">
    <w:abstractNumId w:val="3"/>
    <w:lvlOverride w:ilvl="1">
      <w:lvl w:ilvl="1">
        <w:start w:val="1"/>
        <w:numFmt w:val="lowerLetter"/>
        <w:lvlText w:val="%2)"/>
        <w:lvlJc w:val="left"/>
        <w:pPr>
          <w:tabs>
            <w:tab w:val="num" w:pos="567"/>
          </w:tabs>
          <w:ind w:left="1247" w:firstLine="567"/>
        </w:pPr>
        <w:rPr>
          <w:rFonts w:hint="default"/>
        </w:rPr>
      </w:lvl>
    </w:lvlOverride>
  </w:num>
  <w:num w:numId="4">
    <w:abstractNumId w:val="5"/>
    <w:lvlOverride w:ilvl="0">
      <w:lvl w:ilvl="0" w:tplc="DAB63988">
        <w:start w:val="1"/>
        <w:numFmt w:val="decimal"/>
        <w:lvlText w:val="%1."/>
        <w:lvlJc w:val="left"/>
        <w:pPr>
          <w:tabs>
            <w:tab w:val="num" w:pos="3215"/>
          </w:tabs>
          <w:ind w:left="3215" w:hanging="360"/>
        </w:pPr>
        <w:rPr>
          <w:i w:val="0"/>
          <w:sz w:val="20"/>
          <w:szCs w:val="20"/>
        </w:rPr>
      </w:lvl>
    </w:lvlOverride>
  </w:num>
  <w:num w:numId="5">
    <w:abstractNumId w:val="1"/>
  </w:num>
  <w:num w:numId="6">
    <w:abstractNumId w:val="2"/>
  </w:num>
  <w:num w:numId="7">
    <w:abstractNumId w:val="0"/>
  </w:num>
  <w:num w:numId="8">
    <w:abstractNumId w:val="6"/>
  </w:num>
  <w:num w:numId="9">
    <w:abstractNumId w:val="4"/>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ascii="Times New Roman" w:eastAsia="Times New Roman" w:hAnsi="Times New Roman" w:cs="Times New Roman"/>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10">
    <w:abstractNumId w:val="4"/>
    <w:lvlOverride w:ilvl="0">
      <w:startOverride w:val="1"/>
      <w:lvl w:ilvl="0">
        <w:start w:val="1"/>
        <w:numFmt w:val="decimal"/>
        <w:pStyle w:val="Normalnumber"/>
        <w:lvlText w:val="%1."/>
        <w:lvlJc w:val="left"/>
        <w:pPr>
          <w:tabs>
            <w:tab w:val="num" w:pos="-56"/>
          </w:tabs>
          <w:ind w:left="624" w:firstLine="0"/>
        </w:pPr>
        <w:rPr>
          <w:sz w:val="20"/>
          <w:szCs w:val="20"/>
        </w:rPr>
      </w:lvl>
    </w:lvlOverride>
    <w:lvlOverride w:ilvl="1">
      <w:startOverride w:val="1"/>
      <w:lvl w:ilvl="1">
        <w:start w:val="1"/>
        <w:numFmt w:val="decimal"/>
        <w:lvlText w:val=""/>
        <w:lvlJc w:val="left"/>
        <w:pPr>
          <w:ind w:left="-623" w:firstLine="0"/>
        </w:pPr>
      </w:lvl>
    </w:lvlOverride>
    <w:lvlOverride w:ilvl="2">
      <w:startOverride w:val="1"/>
      <w:lvl w:ilvl="2">
        <w:start w:val="1"/>
        <w:numFmt w:val="decimal"/>
        <w:lvlText w:val=""/>
        <w:lvlJc w:val="left"/>
        <w:pPr>
          <w:ind w:left="-623" w:firstLine="0"/>
        </w:pPr>
      </w:lvl>
    </w:lvlOverride>
    <w:lvlOverride w:ilvl="3">
      <w:startOverride w:val="1"/>
      <w:lvl w:ilvl="3">
        <w:start w:val="1"/>
        <w:numFmt w:val="decimal"/>
        <w:lvlText w:val=""/>
        <w:lvlJc w:val="left"/>
        <w:pPr>
          <w:ind w:left="-623" w:firstLine="0"/>
        </w:pPr>
      </w:lvl>
    </w:lvlOverride>
    <w:lvlOverride w:ilvl="4">
      <w:startOverride w:val="1"/>
      <w:lvl w:ilvl="4">
        <w:start w:val="1"/>
        <w:numFmt w:val="decimal"/>
        <w:lvlText w:val=""/>
        <w:lvlJc w:val="left"/>
        <w:pPr>
          <w:ind w:left="-623" w:firstLine="0"/>
        </w:pPr>
      </w:lvl>
    </w:lvlOverride>
    <w:lvlOverride w:ilvl="5">
      <w:startOverride w:val="1"/>
      <w:lvl w:ilvl="5">
        <w:start w:val="1"/>
        <w:numFmt w:val="decimal"/>
        <w:lvlText w:val=""/>
        <w:lvlJc w:val="left"/>
        <w:pPr>
          <w:ind w:left="-623" w:firstLine="0"/>
        </w:pPr>
      </w:lvl>
    </w:lvlOverride>
    <w:lvlOverride w:ilvl="6">
      <w:startOverride w:val="1"/>
      <w:lvl w:ilvl="6">
        <w:start w:val="1"/>
        <w:numFmt w:val="decimal"/>
        <w:lvlText w:val=""/>
        <w:lvlJc w:val="left"/>
        <w:pPr>
          <w:ind w:left="-623" w:firstLine="0"/>
        </w:pPr>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CAC"/>
    <w:rsid w:val="00871908"/>
    <w:rsid w:val="00977CAC"/>
    <w:rsid w:val="00F1607B"/>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92ED7"/>
  <w15:chartTrackingRefBased/>
  <w15:docId w15:val="{14BCABCB-1B20-404B-9F51-6C3A1AAC9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77CAC"/>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2">
    <w:name w:val="CH2"/>
    <w:basedOn w:val="Normal"/>
    <w:next w:val="Normal"/>
    <w:link w:val="CH2Char"/>
    <w:rsid w:val="00977CAC"/>
    <w:pPr>
      <w:keepNext/>
      <w:keepLines/>
      <w:tabs>
        <w:tab w:val="right" w:pos="851"/>
        <w:tab w:val="left" w:pos="4082"/>
      </w:tabs>
      <w:suppressAutoHyphens/>
      <w:spacing w:before="80" w:after="120"/>
      <w:ind w:left="1247" w:right="284" w:hanging="1247"/>
    </w:pPr>
    <w:rPr>
      <w:b/>
      <w:sz w:val="24"/>
      <w:szCs w:val="24"/>
      <w:lang w:val="en-GB"/>
    </w:rPr>
  </w:style>
  <w:style w:type="character" w:customStyle="1" w:styleId="CH2Char">
    <w:name w:val="CH2 Char"/>
    <w:link w:val="CH2"/>
    <w:locked/>
    <w:rsid w:val="00977CAC"/>
    <w:rPr>
      <w:rFonts w:ascii="Times New Roman" w:eastAsia="Times New Roman" w:hAnsi="Times New Roman" w:cs="Times New Roman"/>
      <w:b/>
      <w:sz w:val="24"/>
      <w:szCs w:val="24"/>
      <w:lang w:val="en-GB" w:eastAsia="en-US"/>
    </w:rPr>
  </w:style>
  <w:style w:type="paragraph" w:styleId="Footer">
    <w:name w:val="footer"/>
    <w:basedOn w:val="Normal"/>
    <w:link w:val="FooterChar"/>
    <w:uiPriority w:val="99"/>
    <w:rsid w:val="00977CAC"/>
    <w:pPr>
      <w:tabs>
        <w:tab w:val="center" w:pos="4320"/>
        <w:tab w:val="right" w:pos="8640"/>
      </w:tabs>
      <w:spacing w:before="60" w:after="120"/>
    </w:pPr>
    <w:rPr>
      <w:sz w:val="18"/>
    </w:rPr>
  </w:style>
  <w:style w:type="character" w:customStyle="1" w:styleId="FooterChar">
    <w:name w:val="Footer Char"/>
    <w:basedOn w:val="DefaultParagraphFont"/>
    <w:link w:val="Footer"/>
    <w:uiPriority w:val="99"/>
    <w:rsid w:val="00977CAC"/>
    <w:rPr>
      <w:rFonts w:ascii="Times New Roman" w:eastAsia="Times New Roman" w:hAnsi="Times New Roman" w:cs="Times New Roman"/>
      <w:sz w:val="18"/>
      <w:szCs w:val="20"/>
      <w:lang w:val="fr-FR" w:eastAsia="en-US"/>
    </w:rPr>
  </w:style>
  <w:style w:type="paragraph" w:customStyle="1" w:styleId="Normal-pool">
    <w:name w:val="Normal-pool"/>
    <w:link w:val="Normal-poolChar"/>
    <w:qFormat/>
    <w:rsid w:val="00977CAC"/>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rsid w:val="00977CAC"/>
    <w:rPr>
      <w:rFonts w:ascii="Times New Roman" w:eastAsia="Times New Roman" w:hAnsi="Times New Roman" w:cs="Times New Roman"/>
      <w:sz w:val="20"/>
      <w:szCs w:val="20"/>
      <w:lang w:val="en-GB" w:eastAsia="en-US"/>
    </w:rPr>
  </w:style>
  <w:style w:type="paragraph" w:styleId="Header">
    <w:name w:val="header"/>
    <w:basedOn w:val="Normal"/>
    <w:link w:val="HeaderChar"/>
    <w:uiPriority w:val="99"/>
    <w:rsid w:val="00977CAC"/>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customStyle="1" w:styleId="HeaderChar">
    <w:name w:val="Header Char"/>
    <w:basedOn w:val="DefaultParagraphFont"/>
    <w:link w:val="Header"/>
    <w:uiPriority w:val="99"/>
    <w:rsid w:val="00977CAC"/>
    <w:rPr>
      <w:rFonts w:ascii="Times New Roman" w:eastAsia="Times New Roman" w:hAnsi="Times New Roman" w:cs="Times New Roman"/>
      <w:b/>
      <w:sz w:val="18"/>
      <w:szCs w:val="20"/>
      <w:lang w:val="fr-FR" w:eastAsia="en-US"/>
    </w:rPr>
  </w:style>
  <w:style w:type="paragraph" w:styleId="ListParagraph">
    <w:name w:val="List Paragraph"/>
    <w:basedOn w:val="Normal"/>
    <w:uiPriority w:val="34"/>
    <w:qFormat/>
    <w:rsid w:val="00977CAC"/>
    <w:pPr>
      <w:ind w:left="720"/>
    </w:pPr>
  </w:style>
  <w:style w:type="numbering" w:customStyle="1" w:styleId="Normallist">
    <w:name w:val="Normal_list"/>
    <w:basedOn w:val="NoList"/>
    <w:rsid w:val="00977CAC"/>
    <w:pPr>
      <w:numPr>
        <w:numId w:val="1"/>
      </w:numPr>
    </w:pPr>
  </w:style>
  <w:style w:type="paragraph" w:customStyle="1" w:styleId="Normalnumber">
    <w:name w:val="Normal_number"/>
    <w:basedOn w:val="Normal"/>
    <w:link w:val="NormalnumberChar"/>
    <w:qFormat/>
    <w:rsid w:val="00977CAC"/>
    <w:pPr>
      <w:numPr>
        <w:numId w:val="1"/>
      </w:numPr>
      <w:tabs>
        <w:tab w:val="clear" w:pos="1247"/>
        <w:tab w:val="clear" w:pos="1814"/>
        <w:tab w:val="clear" w:pos="2381"/>
        <w:tab w:val="clear" w:pos="2948"/>
        <w:tab w:val="clear" w:pos="3515"/>
        <w:tab w:val="left" w:pos="624"/>
      </w:tabs>
      <w:spacing w:after="120"/>
    </w:pPr>
    <w:rPr>
      <w:lang w:val="en-GB"/>
    </w:rPr>
  </w:style>
  <w:style w:type="character" w:customStyle="1" w:styleId="DeltaViewInsertion">
    <w:name w:val="DeltaView Insertion"/>
    <w:uiPriority w:val="99"/>
    <w:rsid w:val="00977CAC"/>
    <w:rPr>
      <w:color w:val="0000FF"/>
      <w:u w:val="double"/>
    </w:rPr>
  </w:style>
  <w:style w:type="numbering" w:customStyle="1" w:styleId="Style1">
    <w:name w:val="Style1"/>
    <w:uiPriority w:val="99"/>
    <w:rsid w:val="00977CAC"/>
    <w:pPr>
      <w:numPr>
        <w:numId w:val="5"/>
      </w:numPr>
    </w:pPr>
  </w:style>
  <w:style w:type="numbering" w:customStyle="1" w:styleId="Style2">
    <w:name w:val="Style2"/>
    <w:uiPriority w:val="99"/>
    <w:rsid w:val="00977CAC"/>
    <w:pPr>
      <w:numPr>
        <w:numId w:val="7"/>
      </w:numPr>
    </w:p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stylish"/>
    <w:rsid w:val="00F1607B"/>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Char"/>
    <w:basedOn w:val="Normal"/>
    <w:link w:val="FootnoteTextChar"/>
    <w:rsid w:val="00F1607B"/>
    <w:pPr>
      <w:tabs>
        <w:tab w:val="left" w:pos="4082"/>
      </w:tabs>
      <w:spacing w:before="20" w:after="40"/>
      <w:ind w:left="1247"/>
    </w:pPr>
    <w:rPr>
      <w:sz w:val="18"/>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basedOn w:val="DefaultParagraphFont"/>
    <w:link w:val="FootnoteText"/>
    <w:rsid w:val="00F1607B"/>
    <w:rPr>
      <w:rFonts w:ascii="Times New Roman" w:eastAsia="Times New Roman" w:hAnsi="Times New Roman" w:cs="Times New Roman"/>
      <w:sz w:val="18"/>
      <w:szCs w:val="20"/>
      <w:lang w:val="fr-FR" w:eastAsia="en-US"/>
    </w:rPr>
  </w:style>
  <w:style w:type="character" w:customStyle="1" w:styleId="NormalnumberChar">
    <w:name w:val="Normal_number Char"/>
    <w:link w:val="Normalnumber"/>
    <w:locked/>
    <w:rsid w:val="00F1607B"/>
    <w:rPr>
      <w:rFonts w:ascii="Times New Roman" w:eastAsia="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600</Words>
  <Characters>3424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2019-11-27T21:13:00Z</dcterms:created>
  <dcterms:modified xsi:type="dcterms:W3CDTF">2019-11-27T21:13:00Z</dcterms:modified>
</cp:coreProperties>
</file>