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4E30" w:rsidRPr="008C3D23" w:rsidRDefault="00F44E30" w:rsidP="00F44E30">
      <w:pPr>
        <w:spacing w:after="120"/>
        <w:ind w:left="1247"/>
        <w:rPr>
          <w:b/>
          <w:bCs/>
          <w:sz w:val="28"/>
          <w:szCs w:val="28"/>
        </w:rPr>
      </w:pPr>
      <w:r>
        <w:rPr>
          <w:b/>
          <w:bCs/>
          <w:sz w:val="28"/>
          <w:szCs w:val="28"/>
        </w:rPr>
        <w:t>Р</w:t>
      </w:r>
      <w:r w:rsidRPr="008C3D23">
        <w:rPr>
          <w:b/>
          <w:bCs/>
          <w:sz w:val="28"/>
          <w:szCs w:val="28"/>
        </w:rPr>
        <w:t xml:space="preserve">К-9/2: </w:t>
      </w:r>
      <w:r w:rsidRPr="006B0803">
        <w:rPr>
          <w:b/>
          <w:bCs/>
          <w:sz w:val="28"/>
          <w:szCs w:val="28"/>
        </w:rPr>
        <w:t>Деятельность Комитета по рассмотрению химических веществ</w:t>
      </w:r>
    </w:p>
    <w:p w:rsidR="00F44E30" w:rsidRPr="006B0803" w:rsidRDefault="00F44E30" w:rsidP="00F44E30">
      <w:pPr>
        <w:spacing w:after="120"/>
        <w:ind w:left="1247" w:firstLine="624"/>
        <w:rPr>
          <w:i/>
        </w:rPr>
      </w:pPr>
      <w:r w:rsidRPr="006B0803">
        <w:rPr>
          <w:i/>
        </w:rPr>
        <w:t>Конференция Сторон</w:t>
      </w:r>
      <w:r>
        <w:rPr>
          <w:i/>
        </w:rPr>
        <w:t>:</w:t>
      </w:r>
    </w:p>
    <w:p w:rsidR="00F44E30" w:rsidRPr="006B0803" w:rsidRDefault="00F44E30" w:rsidP="00F44E30">
      <w:pPr>
        <w:spacing w:after="120"/>
        <w:ind w:left="1247" w:firstLine="624"/>
      </w:pPr>
      <w:r w:rsidRPr="006B0803">
        <w:t>1.</w:t>
      </w:r>
      <w:r w:rsidRPr="006B0803">
        <w:tab/>
      </w:r>
      <w:r w:rsidRPr="006B0803">
        <w:rPr>
          <w:i/>
        </w:rPr>
        <w:t>принимает к сведению</w:t>
      </w:r>
      <w:r w:rsidRPr="006B0803">
        <w:t xml:space="preserve"> информацию, представленную в докладах Комитета по рассмотрению химических веществ о работе его тринадцатого и четырнадцатого совещаний</w:t>
      </w:r>
      <w:r w:rsidRPr="006B0803">
        <w:rPr>
          <w:vertAlign w:val="superscript"/>
        </w:rPr>
        <w:footnoteReference w:id="1"/>
      </w:r>
      <w:r w:rsidRPr="006B0803">
        <w:t>;</w:t>
      </w:r>
    </w:p>
    <w:p w:rsidR="00F44E30" w:rsidRPr="006B0803" w:rsidRDefault="00F44E30" w:rsidP="00F44E30">
      <w:pPr>
        <w:spacing w:after="120"/>
        <w:ind w:left="1247" w:firstLine="624"/>
      </w:pPr>
      <w:r w:rsidRPr="006B0803">
        <w:t>2.</w:t>
      </w:r>
      <w:r w:rsidRPr="006B0803">
        <w:tab/>
      </w:r>
      <w:r w:rsidRPr="006B0803">
        <w:rPr>
          <w:i/>
        </w:rPr>
        <w:t>напоминает</w:t>
      </w:r>
      <w:r w:rsidRPr="006B0803">
        <w:t xml:space="preserve"> о необходимости того, чтобы при выдвижении кандидатур экспертов Стороны учитывали обязанности</w:t>
      </w:r>
      <w:r>
        <w:t xml:space="preserve"> и </w:t>
      </w:r>
      <w:r w:rsidRPr="006B0803">
        <w:t>квалификационные требовани</w:t>
      </w:r>
      <w:r>
        <w:t xml:space="preserve">я </w:t>
      </w:r>
      <w:r w:rsidRPr="006B0803">
        <w:t>в соответствии с кругом ведения Комитета по рассмотрению химических веществ, а также обязательства</w:t>
      </w:r>
      <w:r>
        <w:t xml:space="preserve">, которые требуются от </w:t>
      </w:r>
      <w:r w:rsidRPr="006B0803">
        <w:t xml:space="preserve">членов Комитета; </w:t>
      </w:r>
    </w:p>
    <w:p w:rsidR="00F44E30" w:rsidRPr="006B0803" w:rsidRDefault="00F44E30" w:rsidP="00F44E30">
      <w:pPr>
        <w:spacing w:after="120"/>
        <w:ind w:left="1247" w:firstLine="624"/>
      </w:pPr>
      <w:r w:rsidRPr="006B0803">
        <w:t>3.</w:t>
      </w:r>
      <w:r w:rsidRPr="006B0803">
        <w:tab/>
      </w:r>
      <w:r w:rsidRPr="006B0803">
        <w:rPr>
          <w:i/>
        </w:rPr>
        <w:t xml:space="preserve">подтверждает </w:t>
      </w:r>
      <w:r w:rsidRPr="006B0803">
        <w:t>назначение г-на Динеша Ранивала (Индия) вместо г</w:t>
      </w:r>
      <w:r w:rsidRPr="006B0803">
        <w:noBreakHyphen/>
        <w:t xml:space="preserve">на Маноджа Кумара Гангеи и г-на Саймона Хоя (Соединенное Королевство Великобритании и Северной Ирландии) вместо г-жи Джоанны Пелтола-Тиес членами Комитета на оставшийся срок полномочий г-на Гангеи и г-жи Пелтола-Тиес до 30 апреля 2020 года; </w:t>
      </w:r>
    </w:p>
    <w:p w:rsidR="00F44E30" w:rsidRPr="006B0803" w:rsidRDefault="00F44E30" w:rsidP="00F44E30">
      <w:pPr>
        <w:spacing w:after="120"/>
        <w:ind w:left="1247" w:firstLine="624"/>
      </w:pPr>
      <w:r w:rsidRPr="006B0803">
        <w:t>4.</w:t>
      </w:r>
      <w:r w:rsidRPr="006B0803">
        <w:tab/>
      </w:r>
      <w:r w:rsidRPr="006B0803">
        <w:rPr>
          <w:i/>
        </w:rPr>
        <w:t>также подтверждает</w:t>
      </w:r>
      <w:r w:rsidRPr="006B0803">
        <w:t xml:space="preserve"> назначение г-на Мартэна Лакруа (Канада) вместо г</w:t>
      </w:r>
      <w:r w:rsidRPr="006B0803">
        <w:noBreakHyphen/>
        <w:t>на Джеффри Гудмана, г-жи Глории Джудит Венегас Кальдерон (Эквадор) вместо г</w:t>
      </w:r>
      <w:r w:rsidRPr="006B0803">
        <w:noBreakHyphen/>
        <w:t>жи Кристины Сальгадо, г-жи Кристины Казеровски (Латвия) вместо г-жи Лиги Рубене, г</w:t>
      </w:r>
      <w:r w:rsidRPr="006B0803">
        <w:noBreakHyphen/>
        <w:t xml:space="preserve">на Мухаммада Шакила Малика (Пакистан) вместо г-на Ифтихара уль-Хассана Шаха Гилани, а также г-жи Агнешки Янковски (Польша) вместо г-жи Дороты Виадерны членами Комитета на оставшийся срок полномочий </w:t>
      </w:r>
      <w:r>
        <w:t xml:space="preserve">г-на Гудмана, </w:t>
      </w:r>
      <w:r w:rsidRPr="006B0803">
        <w:t>г</w:t>
      </w:r>
      <w:r w:rsidRPr="006B0803">
        <w:noBreakHyphen/>
        <w:t>жи Сальгадо, г-жи Рубене, г</w:t>
      </w:r>
      <w:r w:rsidRPr="006B0803">
        <w:noBreakHyphen/>
        <w:t>на Гилани и г</w:t>
      </w:r>
      <w:r>
        <w:noBreakHyphen/>
      </w:r>
      <w:r w:rsidRPr="006B0803">
        <w:t>жи</w:t>
      </w:r>
      <w:r>
        <w:t> </w:t>
      </w:r>
      <w:r w:rsidRPr="006B0803">
        <w:t xml:space="preserve">Виадерны до 30 апреля 2022 года; </w:t>
      </w:r>
    </w:p>
    <w:p w:rsidR="00F44E30" w:rsidRPr="006B0803" w:rsidRDefault="00F44E30" w:rsidP="00F44E30">
      <w:pPr>
        <w:spacing w:after="120"/>
        <w:ind w:left="1247" w:firstLine="624"/>
      </w:pPr>
      <w:r w:rsidRPr="006B0803">
        <w:t>5.</w:t>
      </w:r>
      <w:r w:rsidRPr="006B0803">
        <w:tab/>
      </w:r>
      <w:r w:rsidRPr="006B0803">
        <w:rPr>
          <w:i/>
        </w:rPr>
        <w:t>назначает</w:t>
      </w:r>
      <w:r w:rsidRPr="006B0803">
        <w:t xml:space="preserve"> 14 экспертов, перечисленных в приложении к настоящему решению, для работы членами Комитета со сроком полномочий с 1 мая 2020 года по 30 апреля 2024 года</w:t>
      </w:r>
      <w:r w:rsidRPr="006B0803">
        <w:rPr>
          <w:vertAlign w:val="superscript"/>
        </w:rPr>
        <w:footnoteReference w:id="2"/>
      </w:r>
      <w:r w:rsidRPr="006B0803">
        <w:t xml:space="preserve">; </w:t>
      </w:r>
    </w:p>
    <w:p w:rsidR="00F44E30" w:rsidRPr="006B0803" w:rsidRDefault="00F44E30" w:rsidP="00F44E30">
      <w:pPr>
        <w:spacing w:after="120"/>
        <w:ind w:left="1247" w:firstLine="624"/>
      </w:pPr>
      <w:r w:rsidRPr="006B0803">
        <w:t>6.</w:t>
      </w:r>
      <w:r w:rsidRPr="006B0803">
        <w:tab/>
      </w:r>
      <w:r w:rsidRPr="006B0803">
        <w:rPr>
          <w:i/>
        </w:rPr>
        <w:t>избирает</w:t>
      </w:r>
      <w:r w:rsidRPr="006B0803">
        <w:t xml:space="preserve"> Председателем Комитета г-жу Нол</w:t>
      </w:r>
      <w:r>
        <w:t>у</w:t>
      </w:r>
      <w:r w:rsidRPr="006B0803">
        <w:t>зуко Гвайи (Южная Африка);</w:t>
      </w:r>
    </w:p>
    <w:p w:rsidR="00F44E30" w:rsidRPr="006B0803" w:rsidRDefault="00F44E30" w:rsidP="00F44E30">
      <w:pPr>
        <w:spacing w:after="120"/>
        <w:ind w:left="1247" w:firstLine="624"/>
      </w:pPr>
      <w:r w:rsidRPr="006B0803">
        <w:t>7.</w:t>
      </w:r>
      <w:r w:rsidRPr="006B0803">
        <w:tab/>
      </w:r>
      <w:r w:rsidRPr="006B0803">
        <w:rPr>
          <w:i/>
        </w:rPr>
        <w:t>с удовлетворением отмечает</w:t>
      </w:r>
      <w:r w:rsidRPr="006B0803">
        <w:t xml:space="preserve"> проведенный секретариатом ознакомительный семинар-практикум для новых членов и поручает секретариату при условии наличия ресурсов разработать и осуществить для новых и существующих членов учебные мероприятия в рамках плана оказания технической помощи с учетом различных методов проведения и информационных каналов, </w:t>
      </w:r>
      <w:r>
        <w:t>в том числе</w:t>
      </w:r>
      <w:r w:rsidRPr="006B0803">
        <w:t xml:space="preserve"> семинары-практикумы и средства электронного обучения, и представить доклад об их результатах Конференции Сторон на ее десятом совещании;</w:t>
      </w:r>
    </w:p>
    <w:p w:rsidR="00F44E30" w:rsidRPr="006B0803" w:rsidRDefault="00F44E30" w:rsidP="00F44E30">
      <w:pPr>
        <w:spacing w:after="120"/>
        <w:ind w:left="1247" w:firstLine="624"/>
      </w:pPr>
      <w:r w:rsidRPr="006B0803">
        <w:t>8.</w:t>
      </w:r>
      <w:r w:rsidRPr="006B0803">
        <w:tab/>
      </w:r>
      <w:r w:rsidRPr="006B0803">
        <w:rPr>
          <w:i/>
        </w:rPr>
        <w:t>с удовлетворением отмечает</w:t>
      </w:r>
      <w:r w:rsidRPr="006B0803">
        <w:t xml:space="preserve"> </w:t>
      </w:r>
      <w:r w:rsidRPr="004312AC">
        <w:rPr>
          <w:i/>
        </w:rPr>
        <w:t>также</w:t>
      </w:r>
      <w:r>
        <w:t xml:space="preserve"> </w:t>
      </w:r>
      <w:r w:rsidRPr="006B0803">
        <w:t>содержащиеся в документе UNEP/FAO/RC/COP.9/INF/18 рекомендации секретариата в отношении активизации участия в процессе работы Комитета по рассмотрению химических веществ, повышения его открытости и транспарентности;</w:t>
      </w:r>
    </w:p>
    <w:p w:rsidR="00F44E30" w:rsidRPr="006B0803" w:rsidRDefault="00F44E30" w:rsidP="00F44E30">
      <w:pPr>
        <w:spacing w:after="120"/>
        <w:ind w:left="1247" w:firstLine="624"/>
      </w:pPr>
      <w:r w:rsidRPr="006B0803">
        <w:t>9.</w:t>
      </w:r>
      <w:r w:rsidRPr="006B0803">
        <w:tab/>
      </w:r>
      <w:r w:rsidRPr="006B0803">
        <w:rPr>
          <w:i/>
        </w:rPr>
        <w:t>поручает</w:t>
      </w:r>
      <w:r w:rsidRPr="006B0803">
        <w:t xml:space="preserve"> секретариату представить Конференции Сторон на ее десятом совещании доклад о ходе работы в отношении содержащихся в документе UNEP/FAO/RC/COP.9/INF/18 рекомендаций по активизации участия в процессе работы Комитета по рассмотрению химических веществ, повышению его открытости и транспарентности с уделением особого внимания мерам по активизации участия экспертов, Сторон и наблюдателей;</w:t>
      </w:r>
    </w:p>
    <w:p w:rsidR="00F44E30" w:rsidRPr="006B0803" w:rsidRDefault="00F44E30" w:rsidP="00F44E30">
      <w:pPr>
        <w:spacing w:after="120"/>
        <w:ind w:left="1247" w:firstLine="624"/>
      </w:pPr>
      <w:r w:rsidRPr="006B0803">
        <w:t>10.</w:t>
      </w:r>
      <w:r w:rsidRPr="006B0803">
        <w:tab/>
      </w:r>
      <w:r w:rsidRPr="006B0803">
        <w:rPr>
          <w:i/>
        </w:rPr>
        <w:t>поручает</w:t>
      </w:r>
      <w:r w:rsidRPr="006B0803">
        <w:t xml:space="preserve"> </w:t>
      </w:r>
      <w:r w:rsidRPr="006B0803">
        <w:rPr>
          <w:i/>
        </w:rPr>
        <w:t>также</w:t>
      </w:r>
      <w:r w:rsidRPr="006B0803">
        <w:t xml:space="preserve"> секретариату перевести, при условии наличия ресурсов, «Карманный справочник по эффективному участию в работе Комитета по рассмотрению химических веществ Роттердамской конвенции» и «Справочник рабочих процедур и директивных руководящих указаний для Комитета по рассмотрению химических веществ». </w:t>
      </w:r>
    </w:p>
    <w:p w:rsidR="00F44E30" w:rsidRPr="006B0803" w:rsidRDefault="00F44E30" w:rsidP="00F44E30">
      <w:r w:rsidRPr="006B0803">
        <w:br w:type="page"/>
      </w:r>
    </w:p>
    <w:p w:rsidR="00F44E30" w:rsidRPr="00076C44" w:rsidRDefault="00F44E30" w:rsidP="00F44E30">
      <w:pPr>
        <w:spacing w:after="120"/>
        <w:ind w:left="1247"/>
        <w:rPr>
          <w:b/>
          <w:sz w:val="24"/>
          <w:szCs w:val="24"/>
        </w:rPr>
      </w:pPr>
      <w:r w:rsidRPr="00076C44">
        <w:rPr>
          <w:b/>
          <w:sz w:val="24"/>
          <w:szCs w:val="24"/>
        </w:rPr>
        <w:lastRenderedPageBreak/>
        <w:t>Приложение к решению РК-9/</w:t>
      </w:r>
      <w:r w:rsidRPr="00076C44">
        <w:rPr>
          <w:b/>
          <w:sz w:val="24"/>
          <w:szCs w:val="24"/>
          <w:lang w:val="en-US"/>
        </w:rPr>
        <w:t>2</w:t>
      </w:r>
    </w:p>
    <w:p w:rsidR="00F44E30" w:rsidRPr="00076C44" w:rsidRDefault="00F44E30" w:rsidP="00F44E30">
      <w:pPr>
        <w:spacing w:after="120"/>
        <w:ind w:left="1247" w:right="567"/>
        <w:rPr>
          <w:b/>
          <w:sz w:val="24"/>
          <w:szCs w:val="24"/>
        </w:rPr>
      </w:pPr>
      <w:r w:rsidRPr="00076C44">
        <w:rPr>
          <w:b/>
          <w:sz w:val="24"/>
          <w:szCs w:val="24"/>
        </w:rPr>
        <w:t>Члены Комитета по рассмотрению стойких органических загрязнителей, назначенные Конференцией Сторон на ее девятом совещании, со сроком полномочий, начинающимся 1 мая 2020 года</w:t>
      </w:r>
    </w:p>
    <w:p w:rsidR="00F44E30" w:rsidRPr="006B0803" w:rsidRDefault="00F44E30" w:rsidP="00F44E30">
      <w:pPr>
        <w:spacing w:after="120"/>
        <w:ind w:left="1247"/>
        <w:rPr>
          <w:rFonts w:eastAsia="Calibri"/>
          <w:b/>
        </w:rPr>
      </w:pPr>
      <w:r w:rsidRPr="006B0803">
        <w:rPr>
          <w:b/>
        </w:rPr>
        <w:t>Государства Африки</w:t>
      </w:r>
    </w:p>
    <w:p w:rsidR="00F44E30" w:rsidRDefault="00F44E30" w:rsidP="00F44E30">
      <w:pPr>
        <w:ind w:left="1247" w:firstLine="624"/>
      </w:pPr>
      <w:r>
        <w:t>Г-жа Аита Сарр Сек (Сенегал)</w:t>
      </w:r>
    </w:p>
    <w:p w:rsidR="00F44E30" w:rsidRDefault="00F44E30" w:rsidP="00F44E30">
      <w:pPr>
        <w:ind w:left="1247" w:firstLine="624"/>
      </w:pPr>
      <w:r>
        <w:t>Г-н Клоренс Матеве (Зимбабве)</w:t>
      </w:r>
    </w:p>
    <w:p w:rsidR="00F44E30" w:rsidRDefault="00F44E30" w:rsidP="00F44E30">
      <w:pPr>
        <w:ind w:left="1247" w:firstLine="624"/>
      </w:pPr>
      <w:r>
        <w:t>Г-н Юссеф Зиди (Тунис)</w:t>
      </w:r>
    </w:p>
    <w:p w:rsidR="00F44E30" w:rsidRPr="006B0803" w:rsidRDefault="00F44E30" w:rsidP="00F44E30">
      <w:pPr>
        <w:spacing w:after="120"/>
        <w:ind w:left="1247" w:firstLine="624"/>
        <w:rPr>
          <w:rFonts w:eastAsia="Calibri"/>
        </w:rPr>
      </w:pPr>
      <w:r>
        <w:t>Г-н Дэниэл Уильям Ндийо (Объединенная Республика Танзания)</w:t>
      </w:r>
      <w:r w:rsidRPr="006B0803">
        <w:t xml:space="preserve"> </w:t>
      </w:r>
    </w:p>
    <w:p w:rsidR="00F44E30" w:rsidRPr="006B0803" w:rsidRDefault="00F44E30" w:rsidP="00F44E30">
      <w:pPr>
        <w:spacing w:after="120"/>
        <w:ind w:left="1247"/>
        <w:rPr>
          <w:rFonts w:eastAsia="Calibri"/>
          <w:b/>
        </w:rPr>
      </w:pPr>
      <w:r w:rsidRPr="006B0803">
        <w:rPr>
          <w:b/>
        </w:rPr>
        <w:t>Государства Азии и Тихого океана</w:t>
      </w:r>
    </w:p>
    <w:p w:rsidR="00F44E30" w:rsidRDefault="00F44E30" w:rsidP="00F44E30">
      <w:pPr>
        <w:ind w:left="1247" w:firstLine="624"/>
        <w:rPr>
          <w:rFonts w:eastAsia="Calibri"/>
        </w:rPr>
      </w:pPr>
      <w:r>
        <w:rPr>
          <w:rFonts w:eastAsia="Calibri"/>
        </w:rPr>
        <w:t>Г-жа Енни Мелиана (Индонезия)</w:t>
      </w:r>
    </w:p>
    <w:p w:rsidR="00F44E30" w:rsidRDefault="00F44E30" w:rsidP="00F44E30">
      <w:pPr>
        <w:ind w:left="1247" w:firstLine="624"/>
        <w:rPr>
          <w:rFonts w:eastAsia="Calibri"/>
        </w:rPr>
      </w:pPr>
      <w:r>
        <w:rPr>
          <w:rFonts w:eastAsia="Calibri"/>
        </w:rPr>
        <w:t>Г-н Хассан Азхар (Мальдивские Острова)</w:t>
      </w:r>
    </w:p>
    <w:p w:rsidR="00F44E30" w:rsidRDefault="00F44E30" w:rsidP="00F44E30">
      <w:pPr>
        <w:ind w:left="1247" w:firstLine="624"/>
        <w:rPr>
          <w:rFonts w:eastAsia="Calibri"/>
        </w:rPr>
      </w:pPr>
      <w:r>
        <w:rPr>
          <w:rFonts w:eastAsia="Calibri"/>
        </w:rPr>
        <w:t>Г-н Джаякоди А. Сумит (Шри-Ланка)</w:t>
      </w:r>
    </w:p>
    <w:p w:rsidR="00F44E30" w:rsidRPr="006B0803" w:rsidRDefault="00F44E30" w:rsidP="00F44E30">
      <w:pPr>
        <w:spacing w:after="120"/>
        <w:ind w:left="1247" w:firstLine="624"/>
        <w:rPr>
          <w:rFonts w:eastAsia="Calibri"/>
        </w:rPr>
      </w:pPr>
      <w:r>
        <w:rPr>
          <w:rFonts w:eastAsia="Calibri"/>
        </w:rPr>
        <w:t xml:space="preserve">Г-н Динеш Рунивал (Индия) </w:t>
      </w:r>
    </w:p>
    <w:p w:rsidR="00F44E30" w:rsidRPr="006B0803" w:rsidRDefault="00F44E30" w:rsidP="00F44E30">
      <w:pPr>
        <w:spacing w:after="120"/>
        <w:ind w:left="1247"/>
        <w:rPr>
          <w:rFonts w:eastAsia="Calibri"/>
          <w:b/>
        </w:rPr>
      </w:pPr>
      <w:r w:rsidRPr="006B0803">
        <w:rPr>
          <w:b/>
        </w:rPr>
        <w:t>Государства Центральной и Восточной Европы</w:t>
      </w:r>
    </w:p>
    <w:p w:rsidR="00F44E30" w:rsidRPr="006B0803" w:rsidRDefault="00F44E30" w:rsidP="00F44E30">
      <w:pPr>
        <w:spacing w:after="120"/>
        <w:ind w:left="1247" w:firstLine="624"/>
        <w:rPr>
          <w:rFonts w:eastAsia="Calibri"/>
        </w:rPr>
      </w:pPr>
      <w:r>
        <w:rPr>
          <w:rFonts w:eastAsia="Calibri"/>
        </w:rPr>
        <w:t>Г-жа Анаит Александрян (Армения)</w:t>
      </w:r>
    </w:p>
    <w:p w:rsidR="00F44E30" w:rsidRPr="006B0803" w:rsidRDefault="00F44E30" w:rsidP="00F44E30">
      <w:pPr>
        <w:spacing w:after="120"/>
        <w:ind w:left="1247"/>
        <w:rPr>
          <w:rFonts w:eastAsia="Calibri"/>
          <w:b/>
        </w:rPr>
      </w:pPr>
      <w:r w:rsidRPr="006B0803">
        <w:rPr>
          <w:b/>
        </w:rPr>
        <w:t>Государства Латинской Америки и Карибского бассейна</w:t>
      </w:r>
    </w:p>
    <w:p w:rsidR="00F44E30" w:rsidRDefault="00F44E30" w:rsidP="00F44E30">
      <w:pPr>
        <w:ind w:left="1247" w:firstLine="624"/>
        <w:rPr>
          <w:rFonts w:eastAsia="Calibri"/>
        </w:rPr>
      </w:pPr>
      <w:r>
        <w:rPr>
          <w:rFonts w:eastAsia="Calibri"/>
        </w:rPr>
        <w:t>Г-жа Элиана Роза Мунаррис (Аргентина)</w:t>
      </w:r>
    </w:p>
    <w:p w:rsidR="00F44E30" w:rsidRPr="006B0803" w:rsidRDefault="00F44E30" w:rsidP="00F44E30">
      <w:pPr>
        <w:spacing w:after="120"/>
        <w:ind w:left="1247" w:firstLine="624"/>
        <w:rPr>
          <w:rFonts w:eastAsia="Calibri"/>
        </w:rPr>
      </w:pPr>
      <w:r>
        <w:rPr>
          <w:rFonts w:eastAsia="Calibri"/>
        </w:rPr>
        <w:t>Г-н Джона Ормонд (Антигуа и Барбуда)</w:t>
      </w:r>
    </w:p>
    <w:p w:rsidR="00F44E30" w:rsidRPr="006B0803" w:rsidRDefault="00F44E30" w:rsidP="00F44E30">
      <w:pPr>
        <w:spacing w:after="120"/>
        <w:ind w:left="1247"/>
        <w:rPr>
          <w:rFonts w:eastAsia="Calibri"/>
          <w:b/>
        </w:rPr>
      </w:pPr>
      <w:r w:rsidRPr="006B0803">
        <w:rPr>
          <w:b/>
        </w:rPr>
        <w:t>Государства Западной Европы и другие государства</w:t>
      </w:r>
    </w:p>
    <w:p w:rsidR="00F44E30" w:rsidRDefault="00F44E30" w:rsidP="00F44E30">
      <w:pPr>
        <w:ind w:left="1248" w:firstLine="624"/>
        <w:rPr>
          <w:szCs w:val="24"/>
        </w:rPr>
      </w:pPr>
      <w:r w:rsidRPr="000A56E5">
        <w:rPr>
          <w:szCs w:val="24"/>
        </w:rPr>
        <w:t>Г-н</w:t>
      </w:r>
      <w:r>
        <w:rPr>
          <w:szCs w:val="24"/>
        </w:rPr>
        <w:t xml:space="preserve"> Юрген Хельбиг (Австрия)</w:t>
      </w:r>
    </w:p>
    <w:p w:rsidR="00F44E30" w:rsidRDefault="00F44E30" w:rsidP="00F44E30">
      <w:pPr>
        <w:ind w:left="1248" w:firstLine="624"/>
        <w:rPr>
          <w:szCs w:val="24"/>
        </w:rPr>
      </w:pPr>
      <w:r>
        <w:rPr>
          <w:szCs w:val="24"/>
        </w:rPr>
        <w:t>Г-жа Мара Кураба (Бельгия)</w:t>
      </w:r>
    </w:p>
    <w:p w:rsidR="00F44E30" w:rsidRPr="00F44E30" w:rsidRDefault="00F44E30" w:rsidP="00F44E30">
      <w:pPr>
        <w:ind w:left="1248" w:firstLine="624"/>
        <w:rPr>
          <w:szCs w:val="24"/>
        </w:rPr>
      </w:pPr>
      <w:r>
        <w:rPr>
          <w:szCs w:val="24"/>
        </w:rPr>
        <w:t>Г-жа Сара Майфер (Швейцария)</w:t>
      </w:r>
      <w:r w:rsidRPr="000A56E5">
        <w:rPr>
          <w:szCs w:val="24"/>
        </w:rPr>
        <w:t xml:space="preserve"> </w:t>
      </w:r>
      <w:r w:rsidRPr="00F44E30">
        <w:rPr>
          <w:szCs w:val="24"/>
        </w:rPr>
        <w:t xml:space="preserve"> </w:t>
      </w:r>
    </w:p>
    <w:p w:rsidR="00F44E30" w:rsidRPr="008C3D23" w:rsidRDefault="00F44E30" w:rsidP="00F44E30"/>
    <w:p w:rsidR="00F935A6" w:rsidRPr="00F44E30" w:rsidRDefault="00F935A6" w:rsidP="00F44E30">
      <w:bookmarkStart w:id="0" w:name="_GoBack"/>
      <w:bookmarkEnd w:id="0"/>
    </w:p>
    <w:sectPr w:rsidR="00F935A6" w:rsidRPr="00F44E3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409A4" w:rsidRDefault="004409A4" w:rsidP="00F44E30">
      <w:r>
        <w:separator/>
      </w:r>
    </w:p>
  </w:endnote>
  <w:endnote w:type="continuationSeparator" w:id="0">
    <w:p w:rsidR="004409A4" w:rsidRDefault="004409A4" w:rsidP="00F4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409A4" w:rsidRDefault="004409A4" w:rsidP="00F44E30">
      <w:r>
        <w:separator/>
      </w:r>
    </w:p>
  </w:footnote>
  <w:footnote w:type="continuationSeparator" w:id="0">
    <w:p w:rsidR="004409A4" w:rsidRDefault="004409A4" w:rsidP="00F44E30">
      <w:r>
        <w:continuationSeparator/>
      </w:r>
    </w:p>
  </w:footnote>
  <w:footnote w:id="1">
    <w:p w:rsidR="00F44E30" w:rsidRPr="00B35898" w:rsidRDefault="00F44E30" w:rsidP="00F44E30">
      <w:pPr>
        <w:pStyle w:val="FootnoteText"/>
        <w:spacing w:before="20" w:after="40"/>
        <w:ind w:left="1247"/>
        <w:rPr>
          <w:sz w:val="18"/>
          <w:szCs w:val="18"/>
          <w:lang w:val="en-US"/>
        </w:rPr>
      </w:pPr>
      <w:r w:rsidRPr="00B35898">
        <w:rPr>
          <w:rStyle w:val="FootnoteReference"/>
          <w:sz w:val="18"/>
          <w:szCs w:val="18"/>
        </w:rPr>
        <w:footnoteRef/>
      </w:r>
      <w:r w:rsidRPr="00B35898">
        <w:rPr>
          <w:sz w:val="18"/>
          <w:szCs w:val="18"/>
          <w:lang w:val="en-CA"/>
        </w:rPr>
        <w:tab/>
        <w:t>UNEP/FAO/RC/CRC.13/</w:t>
      </w:r>
      <w:r w:rsidRPr="00B35898">
        <w:rPr>
          <w:sz w:val="18"/>
          <w:szCs w:val="18"/>
          <w:lang w:val="en-GB"/>
        </w:rPr>
        <w:t>1</w:t>
      </w:r>
      <w:r w:rsidRPr="00B35898">
        <w:rPr>
          <w:sz w:val="18"/>
          <w:szCs w:val="18"/>
          <w:lang w:val="en-CA"/>
        </w:rPr>
        <w:t xml:space="preserve">9 </w:t>
      </w:r>
      <w:r w:rsidRPr="00B35898">
        <w:rPr>
          <w:sz w:val="18"/>
          <w:szCs w:val="18"/>
        </w:rPr>
        <w:t>и</w:t>
      </w:r>
      <w:r w:rsidRPr="00B35898">
        <w:rPr>
          <w:sz w:val="18"/>
          <w:szCs w:val="18"/>
          <w:lang w:val="en-CA"/>
        </w:rPr>
        <w:t xml:space="preserve"> UNEP/FAO/RC/CRC.14/10.</w:t>
      </w:r>
    </w:p>
  </w:footnote>
  <w:footnote w:id="2">
    <w:p w:rsidR="00F44E30" w:rsidRPr="00B35898" w:rsidRDefault="00F44E30" w:rsidP="00F44E30">
      <w:pPr>
        <w:pStyle w:val="FootnoteText"/>
        <w:spacing w:before="20" w:after="40"/>
        <w:ind w:left="1247"/>
        <w:rPr>
          <w:sz w:val="18"/>
          <w:szCs w:val="18"/>
        </w:rPr>
      </w:pPr>
      <w:r w:rsidRPr="00B35898">
        <w:rPr>
          <w:rStyle w:val="FootnoteReference"/>
          <w:sz w:val="18"/>
          <w:szCs w:val="18"/>
        </w:rPr>
        <w:footnoteRef/>
      </w:r>
      <w:r w:rsidRPr="00B35898">
        <w:rPr>
          <w:sz w:val="18"/>
          <w:szCs w:val="18"/>
        </w:rPr>
        <w:tab/>
      </w:r>
      <w:r w:rsidRPr="00B35898">
        <w:rPr>
          <w:sz w:val="18"/>
          <w:szCs w:val="18"/>
        </w:rPr>
        <w:t>Биографические данные этих экспертов приводятся в документе UNEP/FAO/RC/COP.9/INF/4</w:t>
      </w:r>
      <w:r w:rsidRPr="00B35898">
        <w:rPr>
          <w:sz w:val="18"/>
          <w:szCs w:val="18"/>
          <w:lang w:val="en-US"/>
        </w:rPr>
        <w:t>/Rev.1</w:t>
      </w:r>
      <w:r w:rsidRPr="00B35898">
        <w:rPr>
          <w:sz w:val="18"/>
          <w:szCs w:val="18"/>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B8F"/>
    <w:rsid w:val="004409A4"/>
    <w:rsid w:val="00B96B8F"/>
    <w:rsid w:val="00F44E3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74DE19-8082-432B-9441-71B28E4A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6B8F"/>
    <w:pPr>
      <w:spacing w:after="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qFormat/>
    <w:rsid w:val="00F44E30"/>
    <w:rPr>
      <w:rFonts w:ascii="Times New Roman" w:hAnsi="Times New Roman"/>
      <w:sz w:val="20"/>
      <w:vertAlign w:val="superscript"/>
      <w:lang w:val="ru-RU"/>
    </w:rPr>
  </w:style>
  <w:style w:type="paragraph" w:styleId="FootnoteText">
    <w:name w:val="footnote text"/>
    <w:aliases w:val="Geneva 9,Font: Geneva 9,Boston 10,f,Car,FOOTNOTES,fn,single space,DNV-FT,footnote3,text,Geneva,92,Font:,Boston,10,Footnote Text Rail EIS,ft,Footnotes,Footnote ak,fn cafc,Footnotes Char Char,Footnote Text Char Char,fn Char Char,93,Char,Ch,C"/>
    <w:basedOn w:val="Normal"/>
    <w:link w:val="FootnoteTextChar"/>
    <w:uiPriority w:val="99"/>
    <w:qFormat/>
    <w:rsid w:val="00F44E30"/>
  </w:style>
  <w:style w:type="character" w:customStyle="1" w:styleId="FootnoteTextChar">
    <w:name w:val="Footnote Text Char"/>
    <w:aliases w:val="Geneva 9 Char,Font: Geneva 9 Char,Boston 10 Char,f Char,Car Char,FOOTNOTES Char,fn Char,single space Char,DNV-FT Char,footnote3 Char,text Char,Geneva Char,92 Char,Font: Char,Boston Char,10 Char,Footnote Text Rail EIS Char,ft Char"/>
    <w:basedOn w:val="DefaultParagraphFont"/>
    <w:link w:val="FootnoteText"/>
    <w:uiPriority w:val="99"/>
    <w:rsid w:val="00F44E30"/>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F44E30"/>
    <w:pPr>
      <w:spacing w:before="120" w:after="160" w:line="240" w:lineRule="exact"/>
    </w:pPr>
    <w:rPr>
      <w:rFonts w:eastAsiaTheme="minorEastAsia" w:cstheme="minorBidi"/>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3335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2019-11-27T21:41:00Z</dcterms:created>
  <dcterms:modified xsi:type="dcterms:W3CDTF">2019-11-27T21:41:00Z</dcterms:modified>
</cp:coreProperties>
</file>