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49DC" w:rsidRPr="00281F3F" w:rsidRDefault="007F49DC" w:rsidP="007F49DC">
      <w:pPr>
        <w:pStyle w:val="CH1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 w:rsidRPr="00281F3F">
        <w:rPr>
          <w:lang w:val="es-ES"/>
        </w:rPr>
        <w:t>RC-9/2: Funcionamiento del Comité de Examen de Productos Químicos</w:t>
      </w:r>
    </w:p>
    <w:p w:rsidR="007F49DC" w:rsidRPr="00281F3F" w:rsidRDefault="007F49DC" w:rsidP="007F49DC">
      <w:pPr>
        <w:pStyle w:val="Normal-pool"/>
        <w:widowControl w:val="0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120"/>
        <w:ind w:left="1247" w:firstLine="624"/>
        <w:rPr>
          <w:iCs/>
          <w:lang w:val="es-ES"/>
        </w:rPr>
      </w:pPr>
      <w:r w:rsidRPr="00281F3F">
        <w:rPr>
          <w:i/>
          <w:lang w:val="es-ES"/>
        </w:rPr>
        <w:t>La Conferencia de las Partes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 xml:space="preserve">Toma nota </w:t>
      </w:r>
      <w:r w:rsidRPr="00281F3F">
        <w:rPr>
          <w:lang w:val="es-ES"/>
        </w:rPr>
        <w:t>de la información suministrada en los informes del Comité de Examen de Productos Químicos sobre la labor realizada en sus reuniones 13ª y 14ª</w:t>
      </w:r>
      <w:r w:rsidRPr="00281F3F">
        <w:rPr>
          <w:vertAlign w:val="superscript"/>
          <w:lang w:val="es-ES"/>
        </w:rPr>
        <w:footnoteReference w:id="1"/>
      </w:r>
      <w:r w:rsidRPr="00281F3F">
        <w:rPr>
          <w:lang w:val="es-ES"/>
        </w:rPr>
        <w:t>;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color w:val="000000"/>
          <w:lang w:val="es-ES"/>
        </w:rPr>
      </w:pPr>
      <w:r w:rsidRPr="00281F3F">
        <w:rPr>
          <w:i/>
          <w:iCs/>
          <w:lang w:val="es-ES"/>
        </w:rPr>
        <w:t>Recuerda</w:t>
      </w:r>
      <w:r w:rsidRPr="00281F3F">
        <w:rPr>
          <w:lang w:val="es-ES"/>
        </w:rPr>
        <w:t xml:space="preserve"> la necesidad de que las Partes tengan en cuenta, al designar a los expertos, las responsabilidades y las cualificaciones, de conformidad con el mandato del Comité de Examen de Productos Químicos, y el compromiso que se requiere de los miembros del Comité</w:t>
      </w:r>
      <w:r w:rsidRPr="00281F3F">
        <w:rPr>
          <w:bCs/>
          <w:lang w:val="es-ES"/>
        </w:rPr>
        <w:t xml:space="preserve">;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>Confirma</w:t>
      </w:r>
      <w:r w:rsidRPr="00281F3F">
        <w:rPr>
          <w:lang w:val="es-ES"/>
        </w:rPr>
        <w:t xml:space="preserve"> el nombramiento del Sr. </w:t>
      </w:r>
      <w:proofErr w:type="spellStart"/>
      <w:r w:rsidRPr="00281F3F">
        <w:rPr>
          <w:lang w:val="es-ES"/>
        </w:rPr>
        <w:t>Dinesh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Runiwal</w:t>
      </w:r>
      <w:proofErr w:type="spellEnd"/>
      <w:r w:rsidRPr="00281F3F">
        <w:rPr>
          <w:lang w:val="es-ES"/>
        </w:rPr>
        <w:t xml:space="preserve"> (India) en sustitución del Sr. </w:t>
      </w:r>
      <w:proofErr w:type="spellStart"/>
      <w:r w:rsidRPr="00281F3F">
        <w:rPr>
          <w:lang w:val="es-ES"/>
        </w:rPr>
        <w:t>Manoj</w:t>
      </w:r>
      <w:proofErr w:type="spellEnd"/>
      <w:r w:rsidRPr="00281F3F">
        <w:rPr>
          <w:lang w:val="es-ES"/>
        </w:rPr>
        <w:t xml:space="preserve"> Kumar </w:t>
      </w:r>
      <w:proofErr w:type="spellStart"/>
      <w:r w:rsidRPr="00281F3F">
        <w:rPr>
          <w:lang w:val="es-ES"/>
        </w:rPr>
        <w:t>Gangeya</w:t>
      </w:r>
      <w:proofErr w:type="spellEnd"/>
      <w:r w:rsidRPr="00281F3F">
        <w:rPr>
          <w:lang w:val="es-ES"/>
        </w:rPr>
        <w:t xml:space="preserve"> y del Sr. </w:t>
      </w:r>
      <w:proofErr w:type="spellStart"/>
      <w:r w:rsidRPr="00281F3F">
        <w:rPr>
          <w:lang w:val="es-ES"/>
        </w:rPr>
        <w:t>Simon</w:t>
      </w:r>
      <w:proofErr w:type="spellEnd"/>
      <w:r w:rsidRPr="00281F3F">
        <w:rPr>
          <w:lang w:val="es-ES"/>
        </w:rPr>
        <w:t xml:space="preserve"> Hoy (Reino Unido de Gran Bretaña e Irlanda del Norte) en sustitución de la Sra. Johanna </w:t>
      </w:r>
      <w:proofErr w:type="spellStart"/>
      <w:r w:rsidRPr="00281F3F">
        <w:rPr>
          <w:lang w:val="es-ES"/>
        </w:rPr>
        <w:t>Pelthola-Thies</w:t>
      </w:r>
      <w:proofErr w:type="spellEnd"/>
      <w:r w:rsidRPr="00281F3F">
        <w:rPr>
          <w:lang w:val="es-ES"/>
        </w:rPr>
        <w:t xml:space="preserve"> como miembros del Comité como miembros del Comité por el resto de los mandatos del Sr. </w:t>
      </w:r>
      <w:proofErr w:type="spellStart"/>
      <w:r w:rsidRPr="00281F3F">
        <w:rPr>
          <w:lang w:val="es-ES"/>
        </w:rPr>
        <w:t>Gangeya</w:t>
      </w:r>
      <w:proofErr w:type="spellEnd"/>
      <w:r w:rsidRPr="00281F3F">
        <w:rPr>
          <w:lang w:val="es-ES"/>
        </w:rPr>
        <w:t xml:space="preserve"> y la Sra. </w:t>
      </w:r>
      <w:proofErr w:type="spellStart"/>
      <w:r w:rsidRPr="00281F3F">
        <w:rPr>
          <w:lang w:val="es-ES"/>
        </w:rPr>
        <w:t>Pelthola-Thies</w:t>
      </w:r>
      <w:proofErr w:type="spellEnd"/>
      <w:r w:rsidRPr="00281F3F">
        <w:rPr>
          <w:lang w:val="es-ES"/>
        </w:rPr>
        <w:t xml:space="preserve">, que terminan el 30 de abril de 2020;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 xml:space="preserve">Confirma también </w:t>
      </w:r>
      <w:r w:rsidRPr="00281F3F">
        <w:rPr>
          <w:lang w:val="es-ES"/>
        </w:rPr>
        <w:t>el nombramiento del Sr. Martin Lacroix (Canadá) en sustitución del Sr. </w:t>
      </w:r>
      <w:proofErr w:type="spellStart"/>
      <w:r w:rsidRPr="00281F3F">
        <w:rPr>
          <w:lang w:val="es-ES"/>
        </w:rPr>
        <w:t>Jeffery</w:t>
      </w:r>
      <w:proofErr w:type="spellEnd"/>
      <w:r w:rsidRPr="00281F3F">
        <w:rPr>
          <w:lang w:val="es-ES"/>
        </w:rPr>
        <w:t xml:space="preserve"> Goodman; la Sra. Gloria Judith Venegas Calderón (Ecuador) en sustitución de la Sra. Cristina Salgado, de la Sra. </w:t>
      </w:r>
      <w:proofErr w:type="spellStart"/>
      <w:r w:rsidRPr="00281F3F">
        <w:rPr>
          <w:lang w:val="es-ES"/>
        </w:rPr>
        <w:t>Kristīne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Kazerovska</w:t>
      </w:r>
      <w:proofErr w:type="spellEnd"/>
      <w:r w:rsidRPr="00281F3F">
        <w:rPr>
          <w:lang w:val="es-ES"/>
        </w:rPr>
        <w:t xml:space="preserve"> (Letonia) en sustitución de la Sra. </w:t>
      </w:r>
      <w:proofErr w:type="spellStart"/>
      <w:r w:rsidRPr="00281F3F">
        <w:rPr>
          <w:lang w:val="es-ES"/>
        </w:rPr>
        <w:t>Līga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Rubene</w:t>
      </w:r>
      <w:proofErr w:type="spellEnd"/>
      <w:r w:rsidRPr="00281F3F">
        <w:rPr>
          <w:lang w:val="es-ES"/>
        </w:rPr>
        <w:t xml:space="preserve">, del Sr. Muhammad </w:t>
      </w:r>
      <w:proofErr w:type="spellStart"/>
      <w:r w:rsidRPr="00281F3F">
        <w:rPr>
          <w:lang w:val="es-ES"/>
        </w:rPr>
        <w:t>Shakeel</w:t>
      </w:r>
      <w:proofErr w:type="spellEnd"/>
      <w:r w:rsidRPr="00281F3F">
        <w:rPr>
          <w:lang w:val="es-ES"/>
        </w:rPr>
        <w:t xml:space="preserve"> Malik (Pakistán) en sustitución del Sr. </w:t>
      </w:r>
      <w:proofErr w:type="spellStart"/>
      <w:r w:rsidRPr="00281F3F">
        <w:rPr>
          <w:lang w:val="es-ES"/>
        </w:rPr>
        <w:t>Iftikhar</w:t>
      </w:r>
      <w:proofErr w:type="spellEnd"/>
      <w:r w:rsidRPr="00281F3F">
        <w:rPr>
          <w:lang w:val="es-ES"/>
        </w:rPr>
        <w:t>-</w:t>
      </w:r>
      <w:proofErr w:type="spellStart"/>
      <w:r w:rsidRPr="00281F3F">
        <w:rPr>
          <w:lang w:val="es-ES"/>
        </w:rPr>
        <w:t>Ul</w:t>
      </w:r>
      <w:proofErr w:type="spellEnd"/>
      <w:r w:rsidRPr="00281F3F">
        <w:rPr>
          <w:lang w:val="es-ES"/>
        </w:rPr>
        <w:t xml:space="preserve">-Hassan </w:t>
      </w:r>
      <w:proofErr w:type="spellStart"/>
      <w:r w:rsidRPr="00281F3F">
        <w:rPr>
          <w:lang w:val="es-ES"/>
        </w:rPr>
        <w:t>Shah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Gilani</w:t>
      </w:r>
      <w:proofErr w:type="spellEnd"/>
      <w:r w:rsidRPr="00281F3F">
        <w:rPr>
          <w:lang w:val="es-ES"/>
        </w:rPr>
        <w:t xml:space="preserve"> y de la Sra. </w:t>
      </w:r>
      <w:proofErr w:type="spellStart"/>
      <w:r w:rsidRPr="00281F3F">
        <w:rPr>
          <w:lang w:val="es-ES"/>
        </w:rPr>
        <w:t>Agnieszka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Jankowska</w:t>
      </w:r>
      <w:proofErr w:type="spellEnd"/>
      <w:r w:rsidRPr="00281F3F">
        <w:rPr>
          <w:lang w:val="es-ES"/>
        </w:rPr>
        <w:t xml:space="preserve"> (Polonia) en sustitución de la Sra. </w:t>
      </w:r>
      <w:proofErr w:type="spellStart"/>
      <w:r w:rsidRPr="00281F3F">
        <w:rPr>
          <w:lang w:val="es-ES"/>
        </w:rPr>
        <w:t>Dorota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Wiaderna</w:t>
      </w:r>
      <w:proofErr w:type="spellEnd"/>
      <w:r w:rsidRPr="00281F3F">
        <w:rPr>
          <w:lang w:val="es-ES"/>
        </w:rPr>
        <w:t>, como miembros del Comité por el resto de los mandatos del Sr Goodman, la Sra. Salgado, la Sra. </w:t>
      </w:r>
      <w:proofErr w:type="spellStart"/>
      <w:r w:rsidRPr="00281F3F">
        <w:rPr>
          <w:lang w:val="es-ES"/>
        </w:rPr>
        <w:t>Rubene</w:t>
      </w:r>
      <w:proofErr w:type="spellEnd"/>
      <w:r w:rsidRPr="00281F3F">
        <w:rPr>
          <w:lang w:val="es-ES"/>
        </w:rPr>
        <w:t>, el Sr. </w:t>
      </w:r>
      <w:proofErr w:type="spellStart"/>
      <w:r w:rsidRPr="00281F3F">
        <w:rPr>
          <w:lang w:val="es-ES"/>
        </w:rPr>
        <w:t>Gilani</w:t>
      </w:r>
      <w:proofErr w:type="spellEnd"/>
      <w:r w:rsidRPr="00281F3F">
        <w:rPr>
          <w:lang w:val="es-ES"/>
        </w:rPr>
        <w:t xml:space="preserve"> y la Sra. </w:t>
      </w:r>
      <w:proofErr w:type="spellStart"/>
      <w:r w:rsidRPr="00281F3F">
        <w:rPr>
          <w:lang w:val="es-ES"/>
        </w:rPr>
        <w:t>Wiaderna</w:t>
      </w:r>
      <w:proofErr w:type="spellEnd"/>
      <w:r w:rsidRPr="00281F3F">
        <w:rPr>
          <w:lang w:val="es-ES"/>
        </w:rPr>
        <w:t>, que terminan el 30 de abril de 2022;</w:t>
      </w:r>
      <w:r w:rsidRPr="00281F3F">
        <w:rPr>
          <w:bCs/>
          <w:lang w:val="es-ES"/>
        </w:rPr>
        <w:t xml:space="preserve">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>Nombra</w:t>
      </w:r>
      <w:r w:rsidRPr="00281F3F">
        <w:rPr>
          <w:lang w:val="es-ES"/>
        </w:rPr>
        <w:t xml:space="preserve"> a los 14 expertos designados que figuran en la lista del anexo de la presente decisión para que presten servicios como miembros del Comité con un mandato del 1 de mayo de 2020 al 30 de abril de 2024</w:t>
      </w:r>
      <w:r w:rsidRPr="00281F3F">
        <w:rPr>
          <w:vertAlign w:val="superscript"/>
          <w:lang w:val="es-ES"/>
        </w:rPr>
        <w:footnoteReference w:id="2"/>
      </w:r>
      <w:r w:rsidRPr="00281F3F">
        <w:rPr>
          <w:lang w:val="es-ES"/>
        </w:rPr>
        <w:t xml:space="preserve">;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>Elige</w:t>
      </w:r>
      <w:r w:rsidRPr="00281F3F">
        <w:rPr>
          <w:lang w:val="es-ES"/>
        </w:rPr>
        <w:t xml:space="preserve"> </w:t>
      </w:r>
      <w:proofErr w:type="gramStart"/>
      <w:r w:rsidRPr="00281F3F">
        <w:rPr>
          <w:lang w:val="es-ES"/>
        </w:rPr>
        <w:t>Presidenta</w:t>
      </w:r>
      <w:proofErr w:type="gramEnd"/>
      <w:r w:rsidRPr="00281F3F">
        <w:rPr>
          <w:lang w:val="es-ES"/>
        </w:rPr>
        <w:t xml:space="preserve"> del Comité a la Sra. </w:t>
      </w:r>
      <w:proofErr w:type="spellStart"/>
      <w:r w:rsidRPr="00281F3F">
        <w:rPr>
          <w:lang w:val="es-ES"/>
        </w:rPr>
        <w:t>Noluzuko</w:t>
      </w:r>
      <w:proofErr w:type="spellEnd"/>
      <w:r w:rsidRPr="00281F3F">
        <w:rPr>
          <w:lang w:val="es-ES"/>
        </w:rPr>
        <w:t xml:space="preserve"> </w:t>
      </w:r>
      <w:proofErr w:type="spellStart"/>
      <w:r w:rsidRPr="00281F3F">
        <w:rPr>
          <w:lang w:val="es-ES"/>
        </w:rPr>
        <w:t>Gwayi</w:t>
      </w:r>
      <w:proofErr w:type="spellEnd"/>
      <w:r w:rsidRPr="00281F3F">
        <w:rPr>
          <w:lang w:val="es-ES"/>
        </w:rPr>
        <w:t xml:space="preserve"> (Sudáfrica);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 xml:space="preserve">Acoge complacida </w:t>
      </w:r>
      <w:r w:rsidRPr="00281F3F">
        <w:rPr>
          <w:iCs/>
          <w:lang w:val="es-ES"/>
        </w:rPr>
        <w:t>el curso práctico de orientación organizado por la Secretaría para los nuevos miembros, y pide a la Secretaría que, con sujeción a la disponibilidad de recursos, establezca y lleve a cabo actividades de capacitación en el marco del plan de asistencia técnica</w:t>
      </w:r>
      <w:r w:rsidRPr="00281F3F">
        <w:rPr>
          <w:lang w:val="es-ES"/>
        </w:rPr>
        <w:t xml:space="preserve"> para los miembros nuevos y los ya existentes, tomando en consideración diferentes técnicas de enseñanza y canales de información, entre otros, medios de aprendizaje electrónico, e informe sobre sus resultados a la Conferencia de las Partes en su décima reunión;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 xml:space="preserve">Acoge complacida también </w:t>
      </w:r>
      <w:r w:rsidRPr="00281F3F">
        <w:rPr>
          <w:iCs/>
          <w:lang w:val="es-ES"/>
        </w:rPr>
        <w:t>las recomendaciones de la Secretaría que figuran en el documento UNEP/FAO/RC/COP.9/INF/18 relativas al aumento de la participación, la apertura y transparencia en el proceso del Comité de Examen de Productos Químicos;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lang w:val="es-ES"/>
        </w:rPr>
        <w:t>Solicita</w:t>
      </w:r>
      <w:r w:rsidRPr="00281F3F">
        <w:rPr>
          <w:lang w:val="es-ES"/>
        </w:rPr>
        <w:t xml:space="preserve"> a la Secretaría que informe a la Conferencia de las Partes en su décima reunión sobre los progresos respecto de las recomendaciones para aumentar la participación, la apertura y la transparencia en el proceso del Comité de Examen de Productos Químicos, que figuran en el documento UNEP/FAO/RC/COP.9/INF/18, prestando especial atención a las medidas encaminadas a aumentar la participación de expertos, Partes y observadores; </w:t>
      </w:r>
    </w:p>
    <w:p w:rsidR="007F49DC" w:rsidRPr="00281F3F" w:rsidRDefault="007F49DC" w:rsidP="007F49DC">
      <w:pPr>
        <w:pStyle w:val="Normal-pool"/>
        <w:numPr>
          <w:ilvl w:val="0"/>
          <w:numId w:val="6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 w:firstLine="624"/>
        <w:rPr>
          <w:lang w:val="es-ES"/>
        </w:rPr>
      </w:pPr>
      <w:r w:rsidRPr="00281F3F">
        <w:rPr>
          <w:i/>
          <w:iCs/>
          <w:lang w:val="es-ES"/>
        </w:rPr>
        <w:t>Solicita también</w:t>
      </w:r>
      <w:r w:rsidRPr="00281F3F">
        <w:rPr>
          <w:lang w:val="es-ES"/>
        </w:rPr>
        <w:t xml:space="preserve"> a la Secretaría que traduzca, con sujeción a la disponibilidad de recursos, la Guía de bolsillo para la participación efectiva en la labor del Comité de Examen de Productos Químicos del Convenio de Rotterdam y el Manual de procedimientos de trabajo y orientación normativa para el Comité de Examen de Productos Químicos. </w:t>
      </w:r>
    </w:p>
    <w:p w:rsidR="007F49DC" w:rsidRPr="00281F3F" w:rsidRDefault="007F49DC" w:rsidP="007F49DC">
      <w:pPr>
        <w:pStyle w:val="Normal-pool"/>
        <w:rPr>
          <w:lang w:val="es-ES"/>
        </w:rPr>
      </w:pPr>
    </w:p>
    <w:p w:rsidR="007F49DC" w:rsidRPr="00281F3F" w:rsidRDefault="007F49DC" w:rsidP="007F49D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s-ES"/>
        </w:rPr>
      </w:pPr>
      <w:r w:rsidRPr="00281F3F">
        <w:rPr>
          <w:lang w:val="es-ES"/>
        </w:rPr>
        <w:br w:type="page"/>
      </w:r>
    </w:p>
    <w:p w:rsidR="007F49DC" w:rsidRPr="00281F3F" w:rsidRDefault="007F49DC" w:rsidP="007F49DC">
      <w:pPr>
        <w:pStyle w:val="CH1"/>
        <w:ind w:firstLine="0"/>
        <w:rPr>
          <w:lang w:val="es-ES"/>
        </w:rPr>
      </w:pPr>
      <w:r w:rsidRPr="00281F3F">
        <w:rPr>
          <w:lang w:val="es-ES"/>
        </w:rPr>
        <w:lastRenderedPageBreak/>
        <w:t>Anexo de la decisión RC-9/2</w:t>
      </w:r>
    </w:p>
    <w:p w:rsidR="007F49DC" w:rsidRPr="00281F3F" w:rsidRDefault="007F49DC" w:rsidP="007F49DC">
      <w:pPr>
        <w:pStyle w:val="ZZAnxtitle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</w:tabs>
        <w:spacing w:after="240"/>
        <w:rPr>
          <w:lang w:val="es-ES"/>
        </w:rPr>
      </w:pPr>
      <w:r w:rsidRPr="00281F3F">
        <w:rPr>
          <w:lang w:val="es-ES"/>
        </w:rPr>
        <w:t xml:space="preserve">Miembros del Comité de Examen de Productos Químicos nombrados por la Conferencia de las Partes en su novena reunión para los mandatos que comienzan el 1 de mayo de 2020 </w:t>
      </w:r>
    </w:p>
    <w:p w:rsidR="007F49DC" w:rsidRPr="00281F3F" w:rsidRDefault="007F49DC" w:rsidP="007F49DC">
      <w:pPr>
        <w:spacing w:after="120"/>
        <w:ind w:left="1871" w:hanging="624"/>
        <w:rPr>
          <w:rFonts w:eastAsia="Calibri"/>
          <w:b/>
          <w:bCs/>
          <w:iCs/>
          <w:lang w:val="es-ES"/>
        </w:rPr>
      </w:pPr>
      <w:r w:rsidRPr="00281F3F">
        <w:rPr>
          <w:b/>
          <w:bCs/>
          <w:lang w:val="es-ES"/>
        </w:rPr>
        <w:t>Estados de África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Sra. </w:t>
      </w:r>
      <w:proofErr w:type="spellStart"/>
      <w:r w:rsidRPr="00281F3F">
        <w:rPr>
          <w:rFonts w:eastAsia="Calibri"/>
          <w:iCs/>
          <w:lang w:val="es-ES"/>
        </w:rPr>
        <w:t>Aïta</w:t>
      </w:r>
      <w:proofErr w:type="spellEnd"/>
      <w:r w:rsidRPr="00281F3F">
        <w:rPr>
          <w:rFonts w:eastAsia="Calibri"/>
          <w:iCs/>
          <w:lang w:val="es-ES"/>
        </w:rPr>
        <w:t xml:space="preserve"> </w:t>
      </w:r>
      <w:proofErr w:type="spellStart"/>
      <w:r w:rsidRPr="00281F3F">
        <w:rPr>
          <w:rFonts w:eastAsia="Calibri"/>
          <w:iCs/>
          <w:lang w:val="es-ES"/>
        </w:rPr>
        <w:t>Sarr</w:t>
      </w:r>
      <w:proofErr w:type="spellEnd"/>
      <w:r w:rsidRPr="00281F3F">
        <w:rPr>
          <w:rFonts w:eastAsia="Calibri"/>
          <w:iCs/>
          <w:lang w:val="es-ES"/>
        </w:rPr>
        <w:t xml:space="preserve"> </w:t>
      </w:r>
      <w:proofErr w:type="spellStart"/>
      <w:r w:rsidRPr="00281F3F">
        <w:rPr>
          <w:rFonts w:eastAsia="Calibri"/>
          <w:iCs/>
          <w:lang w:val="es-ES"/>
        </w:rPr>
        <w:t>Seck</w:t>
      </w:r>
      <w:proofErr w:type="spellEnd"/>
      <w:r w:rsidRPr="00281F3F">
        <w:rPr>
          <w:rFonts w:eastAsia="Calibri"/>
          <w:iCs/>
          <w:lang w:val="es-ES"/>
        </w:rPr>
        <w:t xml:space="preserve"> (Senegal)</w:t>
      </w:r>
    </w:p>
    <w:p w:rsidR="007F49DC" w:rsidRPr="00DE7893" w:rsidRDefault="007F49DC" w:rsidP="007F49DC">
      <w:pPr>
        <w:ind w:left="2495" w:hanging="624"/>
        <w:rPr>
          <w:rFonts w:eastAsia="Calibri"/>
          <w:iCs/>
          <w:lang w:val="es-ES"/>
        </w:rPr>
      </w:pPr>
      <w:r w:rsidRPr="00DE7893">
        <w:rPr>
          <w:rFonts w:eastAsia="Calibri"/>
          <w:iCs/>
          <w:lang w:val="es-ES"/>
        </w:rPr>
        <w:t>Sr. </w:t>
      </w:r>
      <w:proofErr w:type="spellStart"/>
      <w:r w:rsidRPr="00DE7893">
        <w:rPr>
          <w:rFonts w:eastAsia="Calibri"/>
          <w:iCs/>
          <w:lang w:val="es-ES"/>
        </w:rPr>
        <w:t>Clorence</w:t>
      </w:r>
      <w:proofErr w:type="spellEnd"/>
      <w:r w:rsidRPr="00DE7893">
        <w:rPr>
          <w:rFonts w:eastAsia="Calibri"/>
          <w:iCs/>
          <w:lang w:val="es-ES"/>
        </w:rPr>
        <w:t xml:space="preserve"> </w:t>
      </w:r>
      <w:proofErr w:type="spellStart"/>
      <w:r w:rsidRPr="00DE7893">
        <w:rPr>
          <w:rFonts w:eastAsia="Calibri"/>
          <w:iCs/>
          <w:lang w:val="es-ES"/>
        </w:rPr>
        <w:t>Matewe</w:t>
      </w:r>
      <w:proofErr w:type="spellEnd"/>
      <w:r w:rsidRPr="00DE7893">
        <w:rPr>
          <w:rFonts w:eastAsia="Calibri"/>
          <w:iCs/>
          <w:lang w:val="es-ES"/>
        </w:rPr>
        <w:t xml:space="preserve"> (</w:t>
      </w:r>
      <w:proofErr w:type="spellStart"/>
      <w:r w:rsidRPr="00DE7893">
        <w:rPr>
          <w:rFonts w:eastAsia="Calibri"/>
          <w:iCs/>
          <w:lang w:val="es-ES"/>
        </w:rPr>
        <w:t>Zimbabwe</w:t>
      </w:r>
      <w:proofErr w:type="spellEnd"/>
      <w:r w:rsidRPr="00DE7893">
        <w:rPr>
          <w:rFonts w:eastAsia="Calibri"/>
          <w:iCs/>
          <w:lang w:val="es-ES"/>
        </w:rPr>
        <w:t>)</w:t>
      </w:r>
    </w:p>
    <w:p w:rsidR="007F49DC" w:rsidRPr="00DE7893" w:rsidRDefault="007F49DC" w:rsidP="007F49DC">
      <w:pPr>
        <w:ind w:left="2495" w:hanging="624"/>
        <w:rPr>
          <w:rFonts w:eastAsia="Calibri"/>
          <w:iCs/>
          <w:lang w:val="es-ES"/>
        </w:rPr>
      </w:pPr>
      <w:r w:rsidRPr="00DE7893">
        <w:rPr>
          <w:rFonts w:eastAsia="Calibri"/>
          <w:iCs/>
          <w:lang w:val="es-ES"/>
        </w:rPr>
        <w:t>Sr. </w:t>
      </w:r>
      <w:proofErr w:type="spellStart"/>
      <w:r w:rsidRPr="00DE7893">
        <w:rPr>
          <w:rFonts w:eastAsia="Calibri"/>
          <w:iCs/>
          <w:lang w:val="es-ES"/>
        </w:rPr>
        <w:t>Youssef</w:t>
      </w:r>
      <w:proofErr w:type="spellEnd"/>
      <w:r w:rsidRPr="00DE7893">
        <w:rPr>
          <w:rFonts w:eastAsia="Calibri"/>
          <w:iCs/>
          <w:lang w:val="es-ES"/>
        </w:rPr>
        <w:t xml:space="preserve"> </w:t>
      </w:r>
      <w:proofErr w:type="spellStart"/>
      <w:r w:rsidRPr="00DE7893">
        <w:rPr>
          <w:rFonts w:eastAsia="Calibri"/>
          <w:iCs/>
          <w:lang w:val="es-ES"/>
        </w:rPr>
        <w:t>Zidi</w:t>
      </w:r>
      <w:proofErr w:type="spellEnd"/>
      <w:r w:rsidRPr="00DE7893">
        <w:rPr>
          <w:rFonts w:eastAsia="Calibri"/>
          <w:iCs/>
          <w:lang w:val="es-ES"/>
        </w:rPr>
        <w:t xml:space="preserve"> (Túnez)</w:t>
      </w:r>
    </w:p>
    <w:p w:rsidR="007F49DC" w:rsidRPr="00281F3F" w:rsidRDefault="007F49DC" w:rsidP="007F49DC">
      <w:pPr>
        <w:spacing w:after="120"/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 xml:space="preserve">Sr. Daniel William </w:t>
      </w:r>
      <w:proofErr w:type="spellStart"/>
      <w:r w:rsidRPr="00281F3F">
        <w:rPr>
          <w:rFonts w:eastAsia="Calibri"/>
          <w:iCs/>
          <w:lang w:val="es-ES"/>
        </w:rPr>
        <w:t>Ndiyo</w:t>
      </w:r>
      <w:proofErr w:type="spellEnd"/>
      <w:r w:rsidRPr="00281F3F">
        <w:rPr>
          <w:rFonts w:eastAsia="Calibri"/>
          <w:iCs/>
          <w:lang w:val="es-ES"/>
        </w:rPr>
        <w:t xml:space="preserve"> (República Unida de Tanzania) </w:t>
      </w:r>
    </w:p>
    <w:p w:rsidR="007F49DC" w:rsidRPr="00281F3F" w:rsidRDefault="007F49DC" w:rsidP="007F49DC">
      <w:pPr>
        <w:spacing w:after="120"/>
        <w:ind w:left="1871" w:hanging="624"/>
        <w:rPr>
          <w:rFonts w:eastAsia="Calibri"/>
          <w:b/>
          <w:bCs/>
          <w:iCs/>
          <w:lang w:val="es-ES"/>
        </w:rPr>
      </w:pPr>
      <w:r w:rsidRPr="00281F3F">
        <w:rPr>
          <w:b/>
          <w:bCs/>
          <w:lang w:val="es-ES"/>
        </w:rPr>
        <w:t>Estados de América Latina y el Caribe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 xml:space="preserve">Sra. Eliana Rosa Munarriz (Argentina) </w:t>
      </w:r>
    </w:p>
    <w:p w:rsidR="007F49DC" w:rsidRPr="00281F3F" w:rsidRDefault="007F49DC" w:rsidP="007F49DC">
      <w:pPr>
        <w:spacing w:after="120"/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Sr. </w:t>
      </w:r>
      <w:proofErr w:type="spellStart"/>
      <w:r w:rsidRPr="00281F3F">
        <w:rPr>
          <w:rFonts w:eastAsia="Calibri"/>
          <w:iCs/>
          <w:lang w:val="es-ES"/>
        </w:rPr>
        <w:t>Jonah</w:t>
      </w:r>
      <w:proofErr w:type="spellEnd"/>
      <w:r w:rsidRPr="00281F3F">
        <w:rPr>
          <w:rFonts w:eastAsia="Calibri"/>
          <w:iCs/>
          <w:lang w:val="es-ES"/>
        </w:rPr>
        <w:t xml:space="preserve"> Ormond (Antigua y Barbuda) </w:t>
      </w:r>
    </w:p>
    <w:p w:rsidR="007F49DC" w:rsidRPr="00281F3F" w:rsidRDefault="007F49DC" w:rsidP="007F49DC">
      <w:pPr>
        <w:spacing w:after="120"/>
        <w:ind w:left="1871" w:hanging="624"/>
        <w:rPr>
          <w:rFonts w:eastAsia="Calibri"/>
          <w:b/>
          <w:bCs/>
          <w:iCs/>
          <w:lang w:val="es-ES"/>
        </w:rPr>
      </w:pPr>
      <w:r w:rsidRPr="00281F3F">
        <w:rPr>
          <w:b/>
          <w:bCs/>
          <w:lang w:val="es-ES"/>
        </w:rPr>
        <w:t>Estados de Asia y el Pacífico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Sra. </w:t>
      </w:r>
      <w:proofErr w:type="spellStart"/>
      <w:r w:rsidRPr="00281F3F">
        <w:rPr>
          <w:rFonts w:eastAsia="Calibri"/>
          <w:iCs/>
          <w:lang w:val="es-ES"/>
        </w:rPr>
        <w:t>Yenny</w:t>
      </w:r>
      <w:proofErr w:type="spellEnd"/>
      <w:r w:rsidRPr="00281F3F">
        <w:rPr>
          <w:rFonts w:eastAsia="Calibri"/>
          <w:iCs/>
          <w:lang w:val="es-ES"/>
        </w:rPr>
        <w:t xml:space="preserve"> Meliana (Indonesia) 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 xml:space="preserve">Sr. Hassan </w:t>
      </w:r>
      <w:proofErr w:type="spellStart"/>
      <w:r w:rsidRPr="00281F3F">
        <w:rPr>
          <w:rFonts w:eastAsia="Calibri"/>
          <w:iCs/>
          <w:lang w:val="es-ES"/>
        </w:rPr>
        <w:t>Azhar</w:t>
      </w:r>
      <w:proofErr w:type="spellEnd"/>
      <w:r w:rsidRPr="00281F3F">
        <w:rPr>
          <w:rFonts w:eastAsia="Calibri"/>
          <w:iCs/>
          <w:lang w:val="es-ES"/>
        </w:rPr>
        <w:t xml:space="preserve"> (Maldivas) </w:t>
      </w:r>
    </w:p>
    <w:p w:rsidR="007F49DC" w:rsidRPr="005D5FCA" w:rsidRDefault="007F49DC" w:rsidP="007F49DC">
      <w:pPr>
        <w:ind w:left="2495" w:hanging="624"/>
        <w:rPr>
          <w:rFonts w:eastAsia="Calibri"/>
          <w:iCs/>
          <w:lang w:val="en-GB"/>
        </w:rPr>
      </w:pPr>
      <w:r w:rsidRPr="005D5FCA">
        <w:rPr>
          <w:rFonts w:eastAsia="Calibri"/>
          <w:iCs/>
          <w:lang w:val="en-GB"/>
        </w:rPr>
        <w:t xml:space="preserve">Sr. Jayakody A. </w:t>
      </w:r>
      <w:proofErr w:type="spellStart"/>
      <w:r w:rsidRPr="005D5FCA">
        <w:rPr>
          <w:rFonts w:eastAsia="Calibri"/>
          <w:iCs/>
          <w:lang w:val="en-GB"/>
        </w:rPr>
        <w:t>Sumith</w:t>
      </w:r>
      <w:proofErr w:type="spellEnd"/>
      <w:r w:rsidRPr="005D5FCA">
        <w:rPr>
          <w:rFonts w:eastAsia="Calibri"/>
          <w:iCs/>
          <w:lang w:val="en-GB"/>
        </w:rPr>
        <w:t xml:space="preserve"> (Sri Lanka) </w:t>
      </w:r>
    </w:p>
    <w:p w:rsidR="007F49DC" w:rsidRPr="00281F3F" w:rsidRDefault="007F49DC" w:rsidP="007F49DC">
      <w:pPr>
        <w:spacing w:after="120"/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Sr. </w:t>
      </w:r>
      <w:proofErr w:type="spellStart"/>
      <w:r w:rsidRPr="00281F3F">
        <w:rPr>
          <w:rFonts w:eastAsia="Calibri"/>
          <w:iCs/>
          <w:lang w:val="es-ES"/>
        </w:rPr>
        <w:t>Dinesh</w:t>
      </w:r>
      <w:proofErr w:type="spellEnd"/>
      <w:r w:rsidRPr="00281F3F">
        <w:rPr>
          <w:rFonts w:eastAsia="Calibri"/>
          <w:iCs/>
          <w:lang w:val="es-ES"/>
        </w:rPr>
        <w:t xml:space="preserve"> </w:t>
      </w:r>
      <w:proofErr w:type="spellStart"/>
      <w:r w:rsidRPr="00281F3F">
        <w:rPr>
          <w:rFonts w:eastAsia="Calibri"/>
          <w:iCs/>
          <w:lang w:val="es-ES"/>
        </w:rPr>
        <w:t>Runiwal</w:t>
      </w:r>
      <w:proofErr w:type="spellEnd"/>
      <w:r w:rsidRPr="00281F3F">
        <w:rPr>
          <w:rFonts w:eastAsia="Calibri"/>
          <w:iCs/>
          <w:lang w:val="es-ES"/>
        </w:rPr>
        <w:t xml:space="preserve"> (India) </w:t>
      </w:r>
    </w:p>
    <w:p w:rsidR="007F49DC" w:rsidRPr="00281F3F" w:rsidRDefault="007F49DC" w:rsidP="007F49DC">
      <w:pPr>
        <w:spacing w:after="120"/>
        <w:ind w:left="1871" w:hanging="624"/>
        <w:rPr>
          <w:rFonts w:eastAsia="Calibri"/>
          <w:b/>
          <w:bCs/>
          <w:iCs/>
          <w:lang w:val="es-ES"/>
        </w:rPr>
      </w:pPr>
      <w:r w:rsidRPr="00281F3F">
        <w:rPr>
          <w:rFonts w:eastAsia="Calibri"/>
          <w:b/>
          <w:bCs/>
          <w:iCs/>
          <w:lang w:val="es-ES"/>
        </w:rPr>
        <w:t>Estados de Europa Central y Oriental</w:t>
      </w:r>
    </w:p>
    <w:p w:rsidR="007F49DC" w:rsidRPr="00281F3F" w:rsidRDefault="007F49DC" w:rsidP="007F49DC">
      <w:pPr>
        <w:spacing w:after="120"/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Sra. </w:t>
      </w:r>
      <w:proofErr w:type="spellStart"/>
      <w:r w:rsidRPr="00281F3F">
        <w:rPr>
          <w:rFonts w:eastAsia="Calibri"/>
          <w:iCs/>
          <w:lang w:val="es-ES"/>
        </w:rPr>
        <w:t>Anahit</w:t>
      </w:r>
      <w:proofErr w:type="spellEnd"/>
      <w:r w:rsidRPr="00281F3F">
        <w:rPr>
          <w:rFonts w:eastAsia="Calibri"/>
          <w:iCs/>
          <w:lang w:val="es-ES"/>
        </w:rPr>
        <w:t xml:space="preserve"> </w:t>
      </w:r>
      <w:proofErr w:type="spellStart"/>
      <w:r w:rsidRPr="00281F3F">
        <w:rPr>
          <w:rFonts w:eastAsia="Calibri"/>
          <w:iCs/>
          <w:lang w:val="es-ES"/>
        </w:rPr>
        <w:t>Aleksandryan</w:t>
      </w:r>
      <w:proofErr w:type="spellEnd"/>
      <w:r w:rsidRPr="00281F3F">
        <w:rPr>
          <w:rFonts w:eastAsia="Calibri"/>
          <w:iCs/>
          <w:lang w:val="es-ES"/>
        </w:rPr>
        <w:t xml:space="preserve"> (Armenia) </w:t>
      </w:r>
    </w:p>
    <w:p w:rsidR="007F49DC" w:rsidRPr="00281F3F" w:rsidRDefault="007F49DC" w:rsidP="007F49DC">
      <w:pPr>
        <w:spacing w:after="120"/>
        <w:ind w:left="1871" w:hanging="624"/>
        <w:rPr>
          <w:rFonts w:eastAsia="Calibri"/>
          <w:b/>
          <w:bCs/>
          <w:iCs/>
          <w:lang w:val="es-ES"/>
        </w:rPr>
      </w:pPr>
      <w:r w:rsidRPr="00281F3F">
        <w:rPr>
          <w:b/>
          <w:bCs/>
          <w:lang w:val="es-ES"/>
        </w:rPr>
        <w:t>Estados de Europa Occidental y otros Estados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>Sr. </w:t>
      </w:r>
      <w:proofErr w:type="spellStart"/>
      <w:r w:rsidRPr="00281F3F">
        <w:rPr>
          <w:rFonts w:eastAsia="Calibri"/>
          <w:iCs/>
          <w:lang w:val="es-ES"/>
        </w:rPr>
        <w:t>Juergen</w:t>
      </w:r>
      <w:proofErr w:type="spellEnd"/>
      <w:r w:rsidRPr="00281F3F">
        <w:rPr>
          <w:rFonts w:eastAsia="Calibri"/>
          <w:iCs/>
          <w:lang w:val="es-ES"/>
        </w:rPr>
        <w:t xml:space="preserve"> </w:t>
      </w:r>
      <w:proofErr w:type="spellStart"/>
      <w:r w:rsidRPr="00281F3F">
        <w:rPr>
          <w:rFonts w:eastAsia="Calibri"/>
          <w:iCs/>
          <w:lang w:val="es-ES"/>
        </w:rPr>
        <w:t>Helbig</w:t>
      </w:r>
      <w:proofErr w:type="spellEnd"/>
      <w:r w:rsidRPr="00281F3F">
        <w:rPr>
          <w:rFonts w:eastAsia="Calibri"/>
          <w:iCs/>
          <w:lang w:val="es-ES"/>
        </w:rPr>
        <w:t xml:space="preserve"> (Austria) </w:t>
      </w:r>
    </w:p>
    <w:p w:rsidR="007F49DC" w:rsidRPr="00281F3F" w:rsidRDefault="007F49DC" w:rsidP="007F49DC">
      <w:pPr>
        <w:ind w:left="2495" w:hanging="624"/>
        <w:rPr>
          <w:rFonts w:eastAsia="Calibri"/>
          <w:iCs/>
          <w:lang w:val="es-ES"/>
        </w:rPr>
      </w:pPr>
      <w:r w:rsidRPr="00281F3F">
        <w:rPr>
          <w:rFonts w:eastAsia="Calibri"/>
          <w:iCs/>
          <w:lang w:val="es-ES"/>
        </w:rPr>
        <w:t xml:space="preserve">Sra. Mara Curaba (Bélgica) </w:t>
      </w:r>
    </w:p>
    <w:p w:rsidR="007F49DC" w:rsidRPr="00281F3F" w:rsidRDefault="007F49DC" w:rsidP="007F49DC">
      <w:pPr>
        <w:spacing w:after="120"/>
        <w:ind w:left="2495" w:hanging="624"/>
        <w:rPr>
          <w:lang w:val="es-ES"/>
        </w:rPr>
      </w:pPr>
      <w:r w:rsidRPr="00281F3F">
        <w:rPr>
          <w:rFonts w:eastAsia="Calibri"/>
          <w:iCs/>
          <w:lang w:val="es-ES"/>
        </w:rPr>
        <w:t xml:space="preserve">Sra. Sarah </w:t>
      </w:r>
      <w:proofErr w:type="spellStart"/>
      <w:r w:rsidRPr="00281F3F">
        <w:rPr>
          <w:rFonts w:eastAsia="Calibri"/>
          <w:iCs/>
          <w:lang w:val="es-ES"/>
        </w:rPr>
        <w:t>Maillefer</w:t>
      </w:r>
      <w:proofErr w:type="spellEnd"/>
      <w:r w:rsidRPr="00281F3F">
        <w:rPr>
          <w:rFonts w:eastAsia="Calibri"/>
          <w:iCs/>
          <w:lang w:val="es-ES"/>
        </w:rPr>
        <w:t xml:space="preserve"> (Suiza) </w:t>
      </w:r>
      <w:bookmarkStart w:id="0" w:name="_GoBack"/>
      <w:bookmarkEnd w:id="0"/>
    </w:p>
    <w:p w:rsidR="00F935A6" w:rsidRPr="007F49DC" w:rsidRDefault="00F935A6" w:rsidP="007F49DC"/>
    <w:sectPr w:rsidR="00F935A6" w:rsidRPr="007F49DC" w:rsidSect="00533399">
      <w:headerReference w:type="even" r:id="rId7"/>
      <w:headerReference w:type="first" r:id="rId8"/>
      <w:footerReference w:type="first" r:id="rId9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52C5" w:rsidRDefault="00C852C5" w:rsidP="00533399">
      <w:r>
        <w:separator/>
      </w:r>
    </w:p>
  </w:endnote>
  <w:endnote w:type="continuationSeparator" w:id="0">
    <w:p w:rsidR="00C852C5" w:rsidRDefault="00C852C5" w:rsidP="00533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55565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4EC1" w:rsidRDefault="00C852C5" w:rsidP="00B12CA6">
        <w:pPr>
          <w:pStyle w:val="Footer-po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52C5" w:rsidRDefault="00C852C5" w:rsidP="00533399">
      <w:r>
        <w:separator/>
      </w:r>
    </w:p>
  </w:footnote>
  <w:footnote w:type="continuationSeparator" w:id="0">
    <w:p w:rsidR="00C852C5" w:rsidRDefault="00C852C5" w:rsidP="00533399">
      <w:r>
        <w:continuationSeparator/>
      </w:r>
    </w:p>
  </w:footnote>
  <w:footnote w:id="1">
    <w:p w:rsidR="007F49DC" w:rsidRPr="00D46239" w:rsidRDefault="007F49DC" w:rsidP="007F49D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ind w:left="1247"/>
        <w:rPr>
          <w:sz w:val="18"/>
          <w:szCs w:val="18"/>
          <w:lang w:val="es-ES"/>
        </w:rPr>
      </w:pPr>
      <w:r w:rsidRPr="00D46239">
        <w:rPr>
          <w:sz w:val="18"/>
          <w:szCs w:val="18"/>
          <w:vertAlign w:val="superscript"/>
          <w:lang w:val="es-ES"/>
        </w:rPr>
        <w:footnoteRef/>
      </w:r>
      <w:r w:rsidRPr="00D46239">
        <w:rPr>
          <w:sz w:val="18"/>
          <w:szCs w:val="18"/>
          <w:lang w:val="es-ES"/>
        </w:rPr>
        <w:t xml:space="preserve"> UNEP/FAO/RC/CRC.13/19 y UNEP/FAO/RC/CRC.14/10.</w:t>
      </w:r>
    </w:p>
  </w:footnote>
  <w:footnote w:id="2">
    <w:p w:rsidR="007F49DC" w:rsidRPr="00D46239" w:rsidRDefault="007F49DC" w:rsidP="007F49DC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before="20" w:after="40"/>
        <w:ind w:left="1247"/>
        <w:rPr>
          <w:sz w:val="18"/>
          <w:szCs w:val="18"/>
          <w:lang w:val="es-ES"/>
        </w:rPr>
      </w:pPr>
      <w:r w:rsidRPr="00D46239">
        <w:rPr>
          <w:sz w:val="18"/>
          <w:szCs w:val="18"/>
          <w:vertAlign w:val="superscript"/>
          <w:lang w:val="es-ES"/>
        </w:rPr>
        <w:footnoteRef/>
      </w:r>
      <w:r w:rsidRPr="00D46239">
        <w:rPr>
          <w:sz w:val="18"/>
          <w:szCs w:val="18"/>
          <w:lang w:val="es-ES"/>
        </w:rPr>
        <w:t xml:space="preserve"> Los currículos de esos expertos figuran en el documento UNEP/FAO/RC/COP.9/INF/4/Rev.1.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C852C5" w:rsidP="00F71063">
    <w:pPr>
      <w:pStyle w:val="Header-pool"/>
    </w:pPr>
    <w:r w:rsidRPr="00600F9A">
      <w:t>UNEP/FAO</w:t>
    </w:r>
    <w:r w:rsidRPr="000351D3">
      <w:t>/RC/COP.9/</w:t>
    </w:r>
    <w:r>
      <w:t>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EC1" w:rsidRDefault="00C852C5" w:rsidP="00B12CA6">
    <w:pPr>
      <w:pStyle w:val="Header-pool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63E0D771" wp14:editId="43B6014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71310" cy="106045"/>
              <wp:effectExtent l="0" t="1847850" r="0" b="1790065"/>
              <wp:wrapNone/>
              <wp:docPr id="24" name="WordArt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7131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C852C5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E0D771" id="_x0000_t202" coordsize="21600,21600" o:spt="202" path="m,l,21600r21600,l21600,xe">
              <v:stroke joinstyle="miter"/>
              <v:path gradientshapeok="t" o:connecttype="rect"/>
            </v:shapetype>
            <v:shape id="WordArt 18" o:spid="_x0000_s1026" type="#_x0000_t202" style="position:absolute;margin-left:0;margin-top:0;width:525.3pt;height:8.3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Nj6NAIAADQEAAAOAAAAZHJzL2Uyb0RvYy54bWysU02P2yAQvVfqf0DcE9up82ErzirZNL1s&#10;25U21Z4J4NitMRRI7GjV/94Bk+yqvVX1AZlheDPvvWF514sGnbk2tWwLnIxjjHhLJavbY4G/7Xej&#10;BUbGkpaRRra8wBdu8N3q/btlp3I+kZVsGNcIQFqTd6rAlbUqjyJDKy6IGUvFWzgspRbEwlYfI6ZJ&#10;B+iiiSZxPIs6qZnSknJjILodDvHK45clp/ZrWRpuUVNg6M36Vfv14NZotST5URNV1TS0Qf6hC0Hq&#10;ForeoLbEEnTS9V9QoqZaGlnaMZUikmVZU+45AJsk/oPNU0UU91xAHKNuMpn/B0u/nB81qlmBJylG&#10;LRHg0TNIutYWJQsnT6dMDllPCvJsv5E92OypGvUg6Q+DWnlfkfbI11rLruKEQXsJYIWwJ7G/KAD2&#10;0T3v7UdWgxOJg4/e4A/FjKt06D5LBlfIyUpfrS+1QFq6a4ssdp8Pg4IIOgJrLzc7oQCiEJzN5smH&#10;BI4onCXxLE6nviLJHZhzS2ljP3EpkPspsIZx8ajk/GCsa+41xaUDMMTD32DvS5ZM0ngzyUa72WI+&#10;Sst0Osrm8WIUJ9kmg5JZut39CmWv9z1nR3MgbPtDH4Q+SHYB9h0MZIHNzxPRHJQ8iXsJ8wvylVqK&#10;YI/bXzns+2eiVWBhocxjcx1IT8XlHVmwl7DvACQamPMzadDUazmQDcmB9oDq7hq1Bh92tdfEGTb0&#10;GdyD0fRShWfkZv/t3me9PvbVbwAAAP//AwBQSwMEFAAGAAgAAAAhAE3otmvaAAAABQEAAA8AAABk&#10;cnMvZG93bnJldi54bWxMj81OwzAQhO9IvIO1SNyoDYiAQpwKEXHosT/i7MbbJGCvQ+w0KU/Plgtc&#10;VrOa1cy3xXL2ThxxiF0gDbcLBQKpDrajRsNu+3bzBCImQ9a4QKjhhBGW5eVFYXIbJlrjcZMawSEU&#10;c6OhTanPpYx1i97EReiR2DuEwZvE69BIO5iJw72Td0pl0puOuKE1Pb62WH9uRq/Bfh9O/f00bVer&#10;dTV+ua6q8P1D6+ur+eUZRMI5/R3DGZ/RoWSmfRjJRuE08CPpd5499aAyEHtW2SPIspD/6csfAAAA&#10;//8DAFBLAQItABQABgAIAAAAIQC2gziS/gAAAOEBAAATAAAAAAAAAAAAAAAAAAAAAABbQ29udGVu&#10;dF9UeXBlc10ueG1sUEsBAi0AFAAGAAgAAAAhADj9If/WAAAAlAEAAAsAAAAAAAAAAAAAAAAALwEA&#10;AF9yZWxzLy5yZWxzUEsBAi0AFAAGAAgAAAAhAPp42Po0AgAANAQAAA4AAAAAAAAAAAAAAAAALgIA&#10;AGRycy9lMm9Eb2MueG1sUEsBAi0AFAAGAAgAAAAhAE3otmvaAAAABQEAAA8AAAAAAAAAAAAAAAAA&#10;jgQAAGRycy9kb3ducmV2LnhtbFBLBQYAAAAABAAEAPMAAACVBQAAAAA=&#10;" o:allowincell="f" filled="f" stroked="f">
              <o:lock v:ext="edit" shapetype="t"/>
              <v:textbox style="mso-fit-shape-to-text:t">
                <w:txbxContent>
                  <w:p w:rsidR="00E04EC1" w:rsidRDefault="00C852C5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385B40CE" wp14:editId="1FD1F40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12255" cy="106045"/>
              <wp:effectExtent l="0" t="1828800" r="0" b="1768475"/>
              <wp:wrapNone/>
              <wp:docPr id="23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12255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4EC1" w:rsidRDefault="00C852C5" w:rsidP="00116CB1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ADVANCE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85B40CE" id="WordArt 4" o:spid="_x0000_s1027" type="#_x0000_t202" style="position:absolute;margin-left:0;margin-top:0;width:520.65pt;height:8.3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afRNgIAADoEAAAOAAAAZHJzL2Uyb0RvYy54bWysU02P2jAQvVfqf7B8h3wUWBIRVrCUXrbt&#10;Sku1Z+M4JG2ccW1Dglb97x07AVbtrWoOVjwev5n33nhx38manIQ2FTQZjcYhJaLhkFfNIaPfdtvR&#10;nBJjWZOzGhqR0bMw9H75/t2iVamIoYQ6F5ogSGPSVmW0tFalQWB4KSQzY1CiwcMCtGQWt/oQ5Jq1&#10;iC7rIA7DWdCCzpUGLozB6KY/pEuPXxSC269FYYQldUaxN+tX7de9W4PlgqUHzVRZ8aEN9g9dSFY1&#10;WPQKtWGWkaOu/oKSFddgoLBjDjKAoqi48ByQTRT+wea5ZEp4LiiOUVeZzP+D5V9OT5pUeUbjD5Q0&#10;TKJHLyjpSlsyceq0yqSY9KwwzXZr6NBlz9SoR+A/DGngoWTNQay0hrYULMfuIoQawp7D7qwQ10d3&#10;orMf8wqNiBx88Aa/L2ZcpX37GXK8wo4WfLWu0JJocNfmSeg+H0YBCXaEzp6vbmIBwjE4m0VxPJ1S&#10;wvEsCmfhZOorstSBObOUNvaTAEncT0Y1TotHZadHY11ztxSXjsAYH/56d1+TKJ6E6zgZbWfzu9Gk&#10;mExHyV04H4VRsk6wZDLZbH8NZS/3PWdHsydsu33nHfCCOD32kJ9RhBbHMqPm55FpgYIe5QPgFKOK&#10;hQY5mOT2Fyq77oVpNZCxWO2pvoylZ+TyDvlgMsu/I5CscdpPrCZTL2nPeUge2Peo7q5RK7RjW3lp&#10;bn0OJuKAesWGx+RewNu9z7o9+eVvAAAA//8DAFBLAwQUAAYACAAAACEAcLzJBtsAAAAFAQAADwAA&#10;AGRycy9kb3ducmV2LnhtbEyPzU7DMBCE70h9B2srcaNOKSooxKkqIg499kect/E2CdjrNHaalKfH&#10;5QKX1axmNfNtthqtERfqfONYwXyWgCAunW64UnDYvz+8gPABWaNxTAqu5GGVT+4yTLUbeEuXXahE&#10;DGGfooI6hDaV0pc1WfQz1xJH7+Q6iyGuXSV1h0MMt0Y+JslSWmw4NtTY0ltN5deutwr09+naLoZh&#10;v9lsi/5smqKgj0+l7qfj+hVEoDH8HcMNP6JDHpmOrmfthVEQHwm/8+YlT/MFiGNUy2eQeSb/0+c/&#10;AAAA//8DAFBLAQItABQABgAIAAAAIQC2gziS/gAAAOEBAAATAAAAAAAAAAAAAAAAAAAAAABbQ29u&#10;dGVudF9UeXBlc10ueG1sUEsBAi0AFAAGAAgAAAAhADj9If/WAAAAlAEAAAsAAAAAAAAAAAAAAAAA&#10;LwEAAF9yZWxzLy5yZWxzUEsBAi0AFAAGAAgAAAAhACV1p9E2AgAAOgQAAA4AAAAAAAAAAAAAAAAA&#10;LgIAAGRycy9lMm9Eb2MueG1sUEsBAi0AFAAGAAgAAAAhAHC8yQbbAAAABQEAAA8AAAAAAAAAAAAA&#10;AAAAkAQAAGRycy9kb3ducmV2LnhtbFBLBQYAAAAABAAEAPMAAACYBQAAAAA=&#10;" o:allowincell="f" filled="f" stroked="f">
              <o:lock v:ext="edit" shapetype="t"/>
              <v:textbox style="mso-fit-shape-to-text:t">
                <w:txbxContent>
                  <w:p w:rsidR="00E04EC1" w:rsidRDefault="00C852C5" w:rsidP="00116CB1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ADVANCE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600F9A">
      <w:t>UNEP/FAO</w:t>
    </w:r>
    <w:r w:rsidRPr="000351D3">
      <w:t>/RC/COP.9/</w:t>
    </w:r>
    <w: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4A7CEB"/>
    <w:multiLevelType w:val="hybridMultilevel"/>
    <w:tmpl w:val="64F69A9A"/>
    <w:lvl w:ilvl="0" w:tplc="73ACF8AC">
      <w:start w:val="1"/>
      <w:numFmt w:val="lowerLetter"/>
      <w:lvlText w:val="%1)"/>
      <w:lvlJc w:val="left"/>
      <w:pPr>
        <w:ind w:left="1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8" w:hanging="360"/>
      </w:pPr>
    </w:lvl>
    <w:lvl w:ilvl="2" w:tplc="0409001B" w:tentative="1">
      <w:start w:val="1"/>
      <w:numFmt w:val="lowerRoman"/>
      <w:lvlText w:val="%3."/>
      <w:lvlJc w:val="right"/>
      <w:pPr>
        <w:ind w:left="3048" w:hanging="180"/>
      </w:pPr>
    </w:lvl>
    <w:lvl w:ilvl="3" w:tplc="0409000F" w:tentative="1">
      <w:start w:val="1"/>
      <w:numFmt w:val="decimal"/>
      <w:lvlText w:val="%4."/>
      <w:lvlJc w:val="left"/>
      <w:pPr>
        <w:ind w:left="3768" w:hanging="360"/>
      </w:pPr>
    </w:lvl>
    <w:lvl w:ilvl="4" w:tplc="04090019" w:tentative="1">
      <w:start w:val="1"/>
      <w:numFmt w:val="lowerLetter"/>
      <w:lvlText w:val="%5."/>
      <w:lvlJc w:val="left"/>
      <w:pPr>
        <w:ind w:left="4488" w:hanging="360"/>
      </w:pPr>
    </w:lvl>
    <w:lvl w:ilvl="5" w:tplc="0409001B" w:tentative="1">
      <w:start w:val="1"/>
      <w:numFmt w:val="lowerRoman"/>
      <w:lvlText w:val="%6."/>
      <w:lvlJc w:val="right"/>
      <w:pPr>
        <w:ind w:left="5208" w:hanging="180"/>
      </w:pPr>
    </w:lvl>
    <w:lvl w:ilvl="6" w:tplc="0409000F" w:tentative="1">
      <w:start w:val="1"/>
      <w:numFmt w:val="decimal"/>
      <w:lvlText w:val="%7."/>
      <w:lvlJc w:val="left"/>
      <w:pPr>
        <w:ind w:left="5928" w:hanging="360"/>
      </w:pPr>
    </w:lvl>
    <w:lvl w:ilvl="7" w:tplc="04090019" w:tentative="1">
      <w:start w:val="1"/>
      <w:numFmt w:val="lowerLetter"/>
      <w:lvlText w:val="%8."/>
      <w:lvlJc w:val="left"/>
      <w:pPr>
        <w:ind w:left="6648" w:hanging="360"/>
      </w:pPr>
    </w:lvl>
    <w:lvl w:ilvl="8" w:tplc="0409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" w15:restartNumberingAfterBreak="0">
    <w:nsid w:val="35FB1C90"/>
    <w:multiLevelType w:val="hybridMultilevel"/>
    <w:tmpl w:val="678274CC"/>
    <w:lvl w:ilvl="0" w:tplc="4724A15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lang w:val="es-ES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9171C"/>
    <w:multiLevelType w:val="multilevel"/>
    <w:tmpl w:val="BD3428AA"/>
    <w:lvl w:ilvl="0">
      <w:start w:val="1"/>
      <w:numFmt w:val="decimal"/>
      <w:pStyle w:val="Normalnumber"/>
      <w:lvlText w:val="%1."/>
      <w:lvlJc w:val="left"/>
      <w:pPr>
        <w:tabs>
          <w:tab w:val="num" w:pos="1134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247" w:firstLine="567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134"/>
        </w:tabs>
        <w:ind w:left="2948" w:hanging="567"/>
      </w:pPr>
      <w:rPr>
        <w:rFonts w:ascii="Times New Roman" w:eastAsia="Times New Roman" w:hAnsi="Times New Roman" w:cs="Times New Roman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134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3" w15:restartNumberingAfterBreak="0">
    <w:nsid w:val="5D5E3222"/>
    <w:multiLevelType w:val="hybridMultilevel"/>
    <w:tmpl w:val="AE9662FE"/>
    <w:lvl w:ilvl="0" w:tplc="1C90253E">
      <w:start w:val="1"/>
      <w:numFmt w:val="lowerLetter"/>
      <w:lvlText w:val="(%1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53533"/>
    <w:multiLevelType w:val="hybridMultilevel"/>
    <w:tmpl w:val="49F48122"/>
    <w:lvl w:ilvl="0" w:tplc="5C9420DC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A0D88"/>
    <w:multiLevelType w:val="hybridMultilevel"/>
    <w:tmpl w:val="B5E83A3A"/>
    <w:lvl w:ilvl="0" w:tplc="428A3A7A">
      <w:start w:val="1"/>
      <w:numFmt w:val="decimal"/>
      <w:lvlText w:val="%1."/>
      <w:lvlJc w:val="left"/>
      <w:pPr>
        <w:ind w:left="720" w:hanging="360"/>
      </w:pPr>
      <w:rPr>
        <w:lang w:val="es-ES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1134"/>
          </w:tabs>
          <w:ind w:left="1247" w:firstLine="0"/>
        </w:pPr>
        <w:rPr>
          <w:rFonts w:hint="default"/>
          <w:lang w:val="es-ES"/>
        </w:rPr>
      </w:lvl>
    </w:lvlOverride>
  </w:num>
  <w:num w:numId="2">
    <w:abstractNumId w:val="3"/>
    <w:lvlOverride w:ilvl="0">
      <w:lvl w:ilvl="0" w:tplc="1C90253E">
        <w:start w:val="1"/>
        <w:numFmt w:val="lowerLetter"/>
        <w:lvlText w:val="%1)"/>
        <w:lvlJc w:val="left"/>
        <w:pPr>
          <w:ind w:left="720" w:hanging="360"/>
        </w:pPr>
        <w:rPr>
          <w:rFonts w:ascii="Times New Roman" w:eastAsiaTheme="minorEastAsia" w:hAnsi="Times New Roman" w:cstheme="minorBidi"/>
          <w:lang w:val="es-ES"/>
        </w:rPr>
      </w:lvl>
    </w:lvlOverride>
  </w:num>
  <w:num w:numId="3">
    <w:abstractNumId w:val="1"/>
  </w:num>
  <w:num w:numId="4">
    <w:abstractNumId w:val="4"/>
    <w:lvlOverride w:ilvl="0">
      <w:lvl w:ilvl="0" w:tplc="5C9420DC">
        <w:start w:val="1"/>
        <w:numFmt w:val="decimal"/>
        <w:lvlText w:val="%1."/>
        <w:lvlJc w:val="left"/>
        <w:pPr>
          <w:ind w:left="2345" w:hanging="360"/>
        </w:pPr>
        <w:rPr>
          <w:lang w:val="es-ES"/>
        </w:rPr>
      </w:lvl>
    </w:lvlOverride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399"/>
    <w:rsid w:val="00533399"/>
    <w:rsid w:val="007F49DC"/>
    <w:rsid w:val="00C852C5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A108"/>
  <w15:chartTrackingRefBased/>
  <w15:docId w15:val="{466C7AFB-D681-4188-99A0-FF20B0007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533399"/>
    <w:pPr>
      <w:keepNext/>
      <w:keepLines/>
      <w:tabs>
        <w:tab w:val="right" w:pos="851"/>
        <w:tab w:val="left" w:pos="4082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Footer-pool">
    <w:name w:val="Footer-pool"/>
    <w:basedOn w:val="Normal-pool"/>
    <w:next w:val="Normal-pool"/>
    <w:uiPriority w:val="99"/>
    <w:rsid w:val="00533399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uiPriority w:val="99"/>
    <w:qFormat/>
    <w:rsid w:val="00533399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Normal-pool">
    <w:name w:val="Normal-pool"/>
    <w:link w:val="Normal-poolChar"/>
    <w:qFormat/>
    <w:rsid w:val="00533399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customStyle="1" w:styleId="Normalnumber">
    <w:name w:val="Normal_number"/>
    <w:basedOn w:val="Normal"/>
    <w:link w:val="NormalnumberChar"/>
    <w:qFormat/>
    <w:rsid w:val="00533399"/>
    <w:pPr>
      <w:numPr>
        <w:numId w:val="1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</w:style>
  <w:style w:type="character" w:customStyle="1" w:styleId="NormalnumberChar">
    <w:name w:val="Normal_number Char"/>
    <w:link w:val="Normalnumber"/>
    <w:locked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character" w:customStyle="1" w:styleId="Normal-poolChar">
    <w:name w:val="Normal-pool Char"/>
    <w:link w:val="Normal-pool"/>
    <w:rsid w:val="00533399"/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3339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533399"/>
    <w:pPr>
      <w:tabs>
        <w:tab w:val="clear" w:pos="1247"/>
        <w:tab w:val="clear" w:pos="1814"/>
        <w:tab w:val="clear" w:pos="2381"/>
        <w:tab w:val="clear" w:pos="2948"/>
        <w:tab w:val="clear" w:pos="3515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33399"/>
    <w:rPr>
      <w:rFonts w:ascii="Times New Roman" w:eastAsia="Times New Roman" w:hAnsi="Times New Roman" w:cs="Times New Roman"/>
      <w:sz w:val="20"/>
      <w:szCs w:val="20"/>
      <w:lang w:val="es-ES_tradnl" w:eastAsia="en-US"/>
    </w:rPr>
  </w:style>
  <w:style w:type="paragraph" w:customStyle="1" w:styleId="ZZAnxtitle">
    <w:name w:val="ZZ_Anx_title"/>
    <w:basedOn w:val="Normal"/>
    <w:uiPriority w:val="99"/>
    <w:rsid w:val="007F49DC"/>
    <w:pPr>
      <w:tabs>
        <w:tab w:val="left" w:pos="4082"/>
      </w:tabs>
      <w:spacing w:before="360" w:after="120"/>
      <w:ind w:left="1247"/>
    </w:pPr>
    <w:rPr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2019-11-27T22:08:00Z</dcterms:created>
  <dcterms:modified xsi:type="dcterms:W3CDTF">2019-11-27T22:08:00Z</dcterms:modified>
</cp:coreProperties>
</file>