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5FF5" w:rsidRPr="00B95715" w:rsidRDefault="00915FF5" w:rsidP="00915FF5">
      <w:pPr>
        <w:spacing w:before="360" w:after="240" w:line="400" w:lineRule="exact"/>
        <w:ind w:left="1134"/>
        <w:jc w:val="both"/>
        <w:rPr>
          <w:rFonts w:cs="Traditional Arabic"/>
          <w:b/>
          <w:bCs/>
          <w:sz w:val="32"/>
          <w:szCs w:val="32"/>
          <w:rtl/>
        </w:rPr>
      </w:pPr>
      <w:r w:rsidRPr="00B95715">
        <w:rPr>
          <w:rFonts w:cs="Traditional Arabic" w:hint="cs"/>
          <w:b/>
          <w:bCs/>
          <w:sz w:val="32"/>
          <w:szCs w:val="32"/>
          <w:rtl/>
        </w:rPr>
        <w:t>المقرر ا ر-9/4: إدراج الفورات في المرفق الثالث لاتفاقية روتردام</w:t>
      </w:r>
    </w:p>
    <w:p w:rsidR="00915FF5" w:rsidRPr="00B95715" w:rsidRDefault="00915FF5" w:rsidP="00915FF5">
      <w:pPr>
        <w:tabs>
          <w:tab w:val="left" w:pos="1842"/>
          <w:tab w:val="left" w:pos="2409"/>
          <w:tab w:val="left" w:pos="2976"/>
        </w:tabs>
        <w:spacing w:after="120" w:line="400" w:lineRule="exact"/>
        <w:ind w:left="1134"/>
        <w:jc w:val="both"/>
        <w:rPr>
          <w:rFonts w:cs="Traditional Arabic"/>
          <w:szCs w:val="30"/>
          <w:rtl/>
        </w:rPr>
      </w:pPr>
      <w:r w:rsidRPr="00DA319A">
        <w:rPr>
          <w:rFonts w:cs="Traditional Arabic"/>
          <w:szCs w:val="30"/>
          <w:rtl/>
        </w:rPr>
        <w:tab/>
      </w:r>
      <w:r w:rsidRPr="00DA319A">
        <w:rPr>
          <w:rFonts w:cs="Traditional Arabic" w:hint="cs"/>
          <w:i/>
          <w:iCs/>
          <w:szCs w:val="30"/>
          <w:rtl/>
        </w:rPr>
        <w:t>إن مؤتمر الأطراف،</w:t>
      </w:r>
    </w:p>
    <w:p w:rsidR="00915FF5" w:rsidRPr="00DA319A" w:rsidRDefault="00915FF5" w:rsidP="00915FF5">
      <w:pPr>
        <w:tabs>
          <w:tab w:val="left" w:pos="2409"/>
          <w:tab w:val="left" w:pos="2976"/>
        </w:tabs>
        <w:spacing w:after="120" w:line="400" w:lineRule="exact"/>
        <w:ind w:left="1134" w:firstLine="708"/>
        <w:jc w:val="both"/>
        <w:rPr>
          <w:rFonts w:ascii="Calibri" w:eastAsia="Calibri" w:hAnsi="Calibri" w:cs="Traditional Arabic"/>
          <w:szCs w:val="30"/>
          <w:rtl/>
        </w:rPr>
      </w:pPr>
      <w:r w:rsidRPr="00DA319A">
        <w:rPr>
          <w:rFonts w:ascii="Calibri" w:eastAsia="Calibri" w:hAnsi="Calibri" w:cs="Traditional Arabic"/>
          <w:i/>
          <w:iCs/>
          <w:szCs w:val="30"/>
          <w:rtl/>
        </w:rPr>
        <w:t xml:space="preserve">إذ يلاحظ مع التقدير </w:t>
      </w:r>
      <w:r w:rsidRPr="00DA319A">
        <w:rPr>
          <w:rFonts w:ascii="Calibri" w:eastAsia="Calibri" w:hAnsi="Calibri" w:cs="Traditional Arabic"/>
          <w:szCs w:val="30"/>
          <w:rtl/>
        </w:rPr>
        <w:t>عمل لجنة استعراض المواد الكيميائية،</w:t>
      </w:r>
    </w:p>
    <w:p w:rsidR="00915FF5" w:rsidRPr="00DA319A" w:rsidRDefault="00915FF5" w:rsidP="00915FF5">
      <w:pPr>
        <w:tabs>
          <w:tab w:val="left" w:pos="2409"/>
          <w:tab w:val="left" w:pos="2976"/>
        </w:tabs>
        <w:spacing w:after="120" w:line="400" w:lineRule="exact"/>
        <w:ind w:left="1133" w:firstLine="709"/>
        <w:jc w:val="both"/>
        <w:rPr>
          <w:rFonts w:ascii="Calibri" w:eastAsia="Calibri" w:hAnsi="Calibri" w:cs="Traditional Arabic"/>
          <w:szCs w:val="30"/>
        </w:rPr>
      </w:pPr>
      <w:r w:rsidRPr="00DA319A">
        <w:rPr>
          <w:rFonts w:ascii="Calibri" w:eastAsia="Calibri" w:hAnsi="Calibri" w:cs="Traditional Arabic"/>
          <w:i/>
          <w:iCs/>
          <w:szCs w:val="30"/>
          <w:rtl/>
        </w:rPr>
        <w:t xml:space="preserve">وقد نظر في </w:t>
      </w:r>
      <w:r w:rsidRPr="00DA319A">
        <w:rPr>
          <w:rFonts w:ascii="Calibri" w:eastAsia="Calibri" w:hAnsi="Calibri" w:cs="Traditional Arabic"/>
          <w:szCs w:val="30"/>
          <w:rtl/>
        </w:rPr>
        <w:t xml:space="preserve">توصية لجنة استعراض المواد الكيميائية بإخضاع </w:t>
      </w:r>
      <w:r w:rsidRPr="00DA319A">
        <w:rPr>
          <w:rFonts w:ascii="Calibri" w:eastAsia="Calibri" w:hAnsi="Calibri" w:cs="Traditional Arabic" w:hint="cs"/>
          <w:szCs w:val="30"/>
          <w:rtl/>
          <w:lang w:bidi="ar-EG"/>
        </w:rPr>
        <w:t xml:space="preserve">الفورات </w:t>
      </w:r>
      <w:r w:rsidRPr="00DA319A">
        <w:rPr>
          <w:rFonts w:ascii="Calibri" w:eastAsia="Calibri" w:hAnsi="Calibri" w:cs="Traditional Arabic"/>
          <w:szCs w:val="30"/>
          <w:rtl/>
        </w:rPr>
        <w:t>لإجراء الموافقة المسبقة عن علم وإدراجه، وفقاً لذلك، بوصفه مبيد آفات في المرفق الثالث لاتفاقية روتردام المتعلقة بتطبيق إجراء الموافقة المسبقة عن علم على مواد كيميائية ومبيدات آفات معينة خطرة متداولة في التجارة الدولية،</w:t>
      </w:r>
    </w:p>
    <w:p w:rsidR="00915FF5" w:rsidRPr="00DA319A" w:rsidRDefault="00915FF5" w:rsidP="00915FF5">
      <w:pPr>
        <w:tabs>
          <w:tab w:val="left" w:pos="2409"/>
          <w:tab w:val="left" w:pos="2976"/>
        </w:tabs>
        <w:spacing w:after="120" w:line="400" w:lineRule="exact"/>
        <w:ind w:left="1133" w:firstLine="709"/>
        <w:jc w:val="both"/>
        <w:rPr>
          <w:rFonts w:ascii="Calibri" w:eastAsia="Calibri" w:hAnsi="Calibri" w:cs="Traditional Arabic"/>
          <w:szCs w:val="30"/>
        </w:rPr>
      </w:pPr>
      <w:r w:rsidRPr="00DA319A">
        <w:rPr>
          <w:rFonts w:ascii="Calibri" w:eastAsia="Calibri" w:hAnsi="Calibri" w:cs="Traditional Arabic"/>
          <w:i/>
          <w:iCs/>
          <w:szCs w:val="30"/>
          <w:rtl/>
        </w:rPr>
        <w:t>وقد اقتنع</w:t>
      </w:r>
      <w:r w:rsidRPr="00DA319A">
        <w:rPr>
          <w:rFonts w:ascii="Calibri" w:eastAsia="Calibri" w:hAnsi="Calibri" w:cs="Traditional Arabic"/>
          <w:szCs w:val="30"/>
          <w:rtl/>
        </w:rPr>
        <w:t xml:space="preserve"> بأن جميع شروط الإدراج في المرفق الثالث لاتفاقية روتردام قد استُوفيت،</w:t>
      </w:r>
    </w:p>
    <w:p w:rsidR="00915FF5" w:rsidRPr="00DA319A" w:rsidRDefault="00915FF5" w:rsidP="00915FF5">
      <w:pPr>
        <w:tabs>
          <w:tab w:val="left" w:pos="2409"/>
          <w:tab w:val="left" w:pos="2976"/>
        </w:tabs>
        <w:spacing w:after="120" w:line="400" w:lineRule="exact"/>
        <w:ind w:left="1133" w:firstLine="709"/>
        <w:jc w:val="both"/>
        <w:rPr>
          <w:rFonts w:ascii="Calibri" w:eastAsia="Calibri" w:hAnsi="Calibri" w:cs="Traditional Arabic"/>
          <w:szCs w:val="30"/>
          <w:rtl/>
        </w:rPr>
      </w:pPr>
      <w:r w:rsidRPr="00DA319A">
        <w:rPr>
          <w:rFonts w:ascii="Calibri" w:eastAsia="Calibri" w:hAnsi="Calibri" w:cs="Traditional Arabic"/>
          <w:szCs w:val="30"/>
          <w:rtl/>
        </w:rPr>
        <w:t xml:space="preserve">1 </w:t>
      </w:r>
      <w:r w:rsidRPr="00DA319A">
        <w:rPr>
          <w:rFonts w:ascii="Calibri" w:eastAsia="Calibri" w:hAnsi="Calibri" w:cs="Traditional Arabic"/>
          <w:i/>
          <w:iCs/>
          <w:szCs w:val="30"/>
          <w:rtl/>
        </w:rPr>
        <w:t>-</w:t>
      </w:r>
      <w:r w:rsidRPr="00DA319A">
        <w:rPr>
          <w:rFonts w:ascii="Calibri" w:eastAsia="Calibri" w:hAnsi="Calibri" w:cs="Traditional Arabic"/>
          <w:i/>
          <w:iCs/>
          <w:szCs w:val="30"/>
          <w:rtl/>
        </w:rPr>
        <w:tab/>
        <w:t xml:space="preserve">يقرر </w:t>
      </w:r>
      <w:r w:rsidRPr="00DA319A">
        <w:rPr>
          <w:rFonts w:ascii="Calibri" w:eastAsia="Calibri" w:hAnsi="Calibri" w:cs="Traditional Arabic"/>
          <w:szCs w:val="30"/>
          <w:rtl/>
        </w:rPr>
        <w:t>تعديل المرفق الثالث لاتفاقية روتردام من أجل إدراج المادة الكيميائية التالية:</w:t>
      </w:r>
    </w:p>
    <w:tbl>
      <w:tblPr>
        <w:bidiVisual/>
        <w:tblW w:w="8362" w:type="dxa"/>
        <w:tblInd w:w="1107" w:type="dxa"/>
        <w:tblBorders>
          <w:top w:val="single" w:sz="4" w:space="0" w:color="auto"/>
          <w:bottom w:val="single" w:sz="6" w:space="0" w:color="auto"/>
          <w:insideH w:val="single" w:sz="6" w:space="0" w:color="auto"/>
        </w:tblBorders>
        <w:tblLayout w:type="fixed"/>
        <w:tblLook w:val="01E0" w:firstRow="1" w:lastRow="1" w:firstColumn="1" w:lastColumn="1" w:noHBand="0" w:noVBand="0"/>
      </w:tblPr>
      <w:tblGrid>
        <w:gridCol w:w="3679"/>
        <w:gridCol w:w="2835"/>
        <w:gridCol w:w="1848"/>
      </w:tblGrid>
      <w:tr w:rsidR="00915FF5" w:rsidRPr="00DA319A" w:rsidTr="00D574D5">
        <w:tc>
          <w:tcPr>
            <w:tcW w:w="3679" w:type="dxa"/>
            <w:tcBorders>
              <w:bottom w:val="single" w:sz="12" w:space="0" w:color="auto"/>
            </w:tcBorders>
          </w:tcPr>
          <w:p w:rsidR="00915FF5" w:rsidRPr="00DA319A" w:rsidRDefault="00915FF5" w:rsidP="00D574D5">
            <w:pPr>
              <w:keepNext/>
              <w:spacing w:line="360" w:lineRule="exact"/>
              <w:jc w:val="both"/>
              <w:rPr>
                <w:rFonts w:cs="Traditional Arabic"/>
                <w:bCs/>
                <w:snapToGrid w:val="0"/>
                <w:sz w:val="28"/>
              </w:rPr>
            </w:pPr>
            <w:r w:rsidRPr="00DA319A">
              <w:rPr>
                <w:rFonts w:cs="Traditional Arabic"/>
                <w:bCs/>
                <w:snapToGrid w:val="0"/>
                <w:sz w:val="28"/>
                <w:rtl/>
              </w:rPr>
              <w:t>المادة الكيميائية</w:t>
            </w:r>
          </w:p>
        </w:tc>
        <w:tc>
          <w:tcPr>
            <w:tcW w:w="2835" w:type="dxa"/>
            <w:tcBorders>
              <w:bottom w:val="single" w:sz="12" w:space="0" w:color="auto"/>
            </w:tcBorders>
          </w:tcPr>
          <w:p w:rsidR="00915FF5" w:rsidRPr="00DA319A" w:rsidRDefault="00915FF5" w:rsidP="00D574D5">
            <w:pPr>
              <w:spacing w:line="360" w:lineRule="exact"/>
              <w:jc w:val="center"/>
              <w:rPr>
                <w:rFonts w:cs="Traditional Arabic"/>
                <w:bCs/>
                <w:sz w:val="28"/>
              </w:rPr>
            </w:pPr>
            <w:r w:rsidRPr="00DA319A">
              <w:rPr>
                <w:rFonts w:cs="Traditional Arabic"/>
                <w:bCs/>
                <w:snapToGrid w:val="0"/>
                <w:sz w:val="28"/>
                <w:rtl/>
              </w:rPr>
              <w:t>الرقم/الأرقام ذات الصلة في سجل دائرة المستخلصات الكيميائية</w:t>
            </w:r>
          </w:p>
        </w:tc>
        <w:tc>
          <w:tcPr>
            <w:tcW w:w="1848" w:type="dxa"/>
            <w:tcBorders>
              <w:bottom w:val="single" w:sz="12" w:space="0" w:color="auto"/>
            </w:tcBorders>
          </w:tcPr>
          <w:p w:rsidR="00915FF5" w:rsidRPr="00DA319A" w:rsidRDefault="00915FF5" w:rsidP="00D574D5">
            <w:pPr>
              <w:spacing w:line="360" w:lineRule="exact"/>
              <w:jc w:val="center"/>
              <w:rPr>
                <w:rFonts w:cs="Traditional Arabic"/>
                <w:bCs/>
                <w:sz w:val="28"/>
              </w:rPr>
            </w:pPr>
            <w:r w:rsidRPr="00DA319A">
              <w:rPr>
                <w:rFonts w:cs="Traditional Arabic"/>
                <w:bCs/>
                <w:snapToGrid w:val="0"/>
                <w:sz w:val="28"/>
                <w:rtl/>
              </w:rPr>
              <w:t>الفئة</w:t>
            </w:r>
          </w:p>
        </w:tc>
      </w:tr>
      <w:tr w:rsidR="00915FF5" w:rsidRPr="00DA319A" w:rsidTr="00D574D5">
        <w:tc>
          <w:tcPr>
            <w:tcW w:w="3679" w:type="dxa"/>
            <w:tcBorders>
              <w:top w:val="single" w:sz="12" w:space="0" w:color="auto"/>
              <w:bottom w:val="single" w:sz="12" w:space="0" w:color="auto"/>
            </w:tcBorders>
          </w:tcPr>
          <w:p w:rsidR="00915FF5" w:rsidRPr="00DA319A" w:rsidRDefault="00915FF5" w:rsidP="00D574D5">
            <w:pPr>
              <w:spacing w:before="120" w:line="360" w:lineRule="exact"/>
              <w:jc w:val="both"/>
              <w:rPr>
                <w:rFonts w:cs="Traditional Arabic"/>
                <w:snapToGrid w:val="0"/>
                <w:sz w:val="28"/>
              </w:rPr>
            </w:pPr>
            <w:r w:rsidRPr="00DA319A">
              <w:rPr>
                <w:rFonts w:ascii="Calibri" w:eastAsia="Calibri" w:hAnsi="Calibri" w:cs="Traditional Arabic" w:hint="cs"/>
                <w:sz w:val="28"/>
                <w:rtl/>
                <w:lang w:bidi="ar-EG"/>
              </w:rPr>
              <w:t>الفورات</w:t>
            </w:r>
          </w:p>
        </w:tc>
        <w:tc>
          <w:tcPr>
            <w:tcW w:w="2835" w:type="dxa"/>
            <w:tcBorders>
              <w:top w:val="single" w:sz="12" w:space="0" w:color="auto"/>
              <w:bottom w:val="single" w:sz="12" w:space="0" w:color="auto"/>
            </w:tcBorders>
          </w:tcPr>
          <w:p w:rsidR="00915FF5" w:rsidRPr="00DA319A" w:rsidRDefault="00915FF5" w:rsidP="00D574D5">
            <w:pPr>
              <w:spacing w:before="120" w:line="360" w:lineRule="exact"/>
              <w:ind w:left="175"/>
              <w:rPr>
                <w:rFonts w:ascii="Traditional Arabic" w:hAnsi="Traditional Arabic" w:cs="Traditional Arabic"/>
                <w:b/>
                <w:sz w:val="28"/>
                <w:rtl/>
              </w:rPr>
            </w:pPr>
            <w:r w:rsidRPr="00DA319A">
              <w:rPr>
                <w:rFonts w:cs="Traditional Arabic" w:hint="cs"/>
                <w:b/>
                <w:sz w:val="28"/>
                <w:rtl/>
              </w:rPr>
              <w:t>298-02-2</w:t>
            </w:r>
          </w:p>
        </w:tc>
        <w:tc>
          <w:tcPr>
            <w:tcW w:w="1848" w:type="dxa"/>
            <w:tcBorders>
              <w:top w:val="single" w:sz="12" w:space="0" w:color="auto"/>
              <w:bottom w:val="single" w:sz="12" w:space="0" w:color="auto"/>
            </w:tcBorders>
          </w:tcPr>
          <w:p w:rsidR="00915FF5" w:rsidRPr="00DA319A" w:rsidRDefault="00915FF5" w:rsidP="00D574D5">
            <w:pPr>
              <w:spacing w:before="120" w:line="360" w:lineRule="exact"/>
              <w:ind w:left="175"/>
              <w:rPr>
                <w:rFonts w:cs="Traditional Arabic"/>
                <w:b/>
                <w:sz w:val="28"/>
              </w:rPr>
            </w:pPr>
            <w:r w:rsidRPr="00DA319A">
              <w:rPr>
                <w:rFonts w:cs="Traditional Arabic"/>
                <w:b/>
                <w:sz w:val="28"/>
                <w:rtl/>
              </w:rPr>
              <w:t>مبيد آفات</w:t>
            </w:r>
          </w:p>
        </w:tc>
      </w:tr>
    </w:tbl>
    <w:p w:rsidR="00915FF5" w:rsidRPr="00DA319A" w:rsidRDefault="00915FF5" w:rsidP="00915FF5">
      <w:pPr>
        <w:tabs>
          <w:tab w:val="left" w:pos="2409"/>
        </w:tabs>
        <w:spacing w:before="240" w:after="120" w:line="400" w:lineRule="exact"/>
        <w:ind w:left="1133" w:firstLine="709"/>
        <w:jc w:val="both"/>
        <w:rPr>
          <w:rFonts w:ascii="Calibri" w:eastAsia="Calibri" w:hAnsi="Calibri" w:cs="Traditional Arabic"/>
          <w:szCs w:val="30"/>
        </w:rPr>
      </w:pPr>
      <w:r w:rsidRPr="00DA319A">
        <w:rPr>
          <w:rFonts w:ascii="Calibri" w:eastAsia="Calibri" w:hAnsi="Calibri" w:cs="Traditional Arabic"/>
          <w:szCs w:val="30"/>
          <w:rtl/>
        </w:rPr>
        <w:t>2 -</w:t>
      </w:r>
      <w:r w:rsidRPr="00DA319A">
        <w:rPr>
          <w:rFonts w:ascii="Calibri" w:eastAsia="Calibri" w:hAnsi="Calibri" w:cs="Traditional Arabic"/>
          <w:i/>
          <w:iCs/>
          <w:szCs w:val="30"/>
          <w:rtl/>
        </w:rPr>
        <w:tab/>
        <w:t>يقرر أيضاً</w:t>
      </w:r>
      <w:r w:rsidRPr="00DA319A">
        <w:rPr>
          <w:rFonts w:ascii="Calibri" w:eastAsia="Calibri" w:hAnsi="Calibri" w:cs="Traditional Arabic"/>
          <w:szCs w:val="30"/>
          <w:rtl/>
        </w:rPr>
        <w:t xml:space="preserve"> أن يبدأ نفاذ هذا التعديل بالنسبة لجميع الأطراف في </w:t>
      </w:r>
      <w:r w:rsidRPr="00DA319A">
        <w:rPr>
          <w:rFonts w:ascii="Calibri" w:eastAsia="Calibri" w:hAnsi="Calibri" w:cs="Traditional Arabic" w:hint="cs"/>
          <w:szCs w:val="30"/>
          <w:rtl/>
        </w:rPr>
        <w:t>16</w:t>
      </w:r>
      <w:r w:rsidRPr="00DA319A">
        <w:rPr>
          <w:rFonts w:ascii="Calibri" w:eastAsia="Calibri" w:hAnsi="Calibri" w:cs="Traditional Arabic"/>
          <w:szCs w:val="30"/>
          <w:rtl/>
        </w:rPr>
        <w:t xml:space="preserve"> أيلول/سبتمبر 201</w:t>
      </w:r>
      <w:r w:rsidRPr="00DA319A">
        <w:rPr>
          <w:rFonts w:ascii="Calibri" w:eastAsia="Calibri" w:hAnsi="Calibri" w:cs="Traditional Arabic" w:hint="cs"/>
          <w:szCs w:val="30"/>
          <w:rtl/>
        </w:rPr>
        <w:t>9</w:t>
      </w:r>
      <w:r w:rsidRPr="00DA319A">
        <w:rPr>
          <w:rFonts w:ascii="Calibri" w:eastAsia="Calibri" w:hAnsi="Calibri" w:cs="Traditional Arabic"/>
          <w:szCs w:val="30"/>
          <w:rtl/>
        </w:rPr>
        <w:t>؛</w:t>
      </w:r>
    </w:p>
    <w:p w:rsidR="00915FF5" w:rsidRPr="00DA319A" w:rsidRDefault="00915FF5" w:rsidP="00915FF5">
      <w:pPr>
        <w:tabs>
          <w:tab w:val="left" w:pos="2409"/>
        </w:tabs>
        <w:spacing w:after="120" w:line="400" w:lineRule="exact"/>
        <w:ind w:left="1134" w:firstLine="709"/>
        <w:jc w:val="both"/>
        <w:rPr>
          <w:rFonts w:ascii="Calibri" w:eastAsia="Calibri" w:hAnsi="Calibri" w:cs="Traditional Arabic"/>
          <w:szCs w:val="30"/>
          <w:rtl/>
        </w:rPr>
      </w:pPr>
      <w:r w:rsidRPr="00DA319A">
        <w:rPr>
          <w:rFonts w:ascii="Calibri" w:eastAsia="Calibri" w:hAnsi="Calibri" w:cs="Traditional Arabic"/>
          <w:szCs w:val="30"/>
          <w:rtl/>
        </w:rPr>
        <w:t>3 -</w:t>
      </w:r>
      <w:r w:rsidRPr="00DA319A">
        <w:rPr>
          <w:rFonts w:ascii="Calibri" w:eastAsia="Calibri" w:hAnsi="Calibri" w:cs="Traditional Arabic"/>
          <w:i/>
          <w:iCs/>
          <w:szCs w:val="30"/>
          <w:rtl/>
        </w:rPr>
        <w:tab/>
        <w:t>يعتمد</w:t>
      </w:r>
      <w:r w:rsidRPr="00DA319A">
        <w:rPr>
          <w:rFonts w:ascii="Calibri" w:eastAsia="Calibri" w:hAnsi="Calibri" w:cs="Traditional Arabic"/>
          <w:szCs w:val="30"/>
          <w:rtl/>
        </w:rPr>
        <w:t xml:space="preserve"> وثيقة توجيه القرارات بشأن </w:t>
      </w:r>
      <w:r w:rsidRPr="00DA319A">
        <w:rPr>
          <w:rFonts w:ascii="Calibri" w:eastAsia="Calibri" w:hAnsi="Calibri" w:cs="Traditional Arabic" w:hint="cs"/>
          <w:szCs w:val="30"/>
          <w:rtl/>
          <w:lang w:bidi="ar-EG"/>
        </w:rPr>
        <w:t>الفورات</w:t>
      </w:r>
      <w:r w:rsidRPr="00DA319A">
        <w:rPr>
          <w:rFonts w:ascii="Traditional Arabic" w:hAnsi="Traditional Arabic" w:cs="Traditional Arabic"/>
          <w:sz w:val="30"/>
          <w:szCs w:val="30"/>
          <w:vertAlign w:val="superscript"/>
          <w:rtl/>
        </w:rPr>
        <w:t>(</w:t>
      </w:r>
      <w:r w:rsidRPr="00DA319A">
        <w:rPr>
          <w:rFonts w:ascii="Traditional Arabic" w:hAnsi="Traditional Arabic" w:cs="Traditional Arabic"/>
          <w:sz w:val="30"/>
          <w:szCs w:val="30"/>
          <w:vertAlign w:val="superscript"/>
          <w:rtl/>
        </w:rPr>
        <w:footnoteReference w:id="1"/>
      </w:r>
      <w:r w:rsidRPr="00DA319A">
        <w:rPr>
          <w:rFonts w:ascii="Traditional Arabic" w:hAnsi="Traditional Arabic" w:cs="Traditional Arabic"/>
          <w:sz w:val="30"/>
          <w:szCs w:val="30"/>
          <w:vertAlign w:val="superscript"/>
          <w:rtl/>
        </w:rPr>
        <w:t>)</w:t>
      </w:r>
      <w:r w:rsidRPr="00DA319A">
        <w:rPr>
          <w:rFonts w:ascii="Traditional Arabic" w:hAnsi="Traditional Arabic" w:cs="Traditional Arabic"/>
          <w:sz w:val="30"/>
          <w:szCs w:val="30"/>
          <w:rtl/>
        </w:rPr>
        <w:t>.</w:t>
      </w:r>
    </w:p>
    <w:p w:rsidR="00915FF5" w:rsidRDefault="00915FF5" w:rsidP="00915FF5">
      <w:pPr>
        <w:rPr>
          <w:rFonts w:ascii="Traditional Arabic" w:eastAsia="Calibri" w:hAnsi="Traditional Arabic" w:cs="Traditional Arabic"/>
          <w:i/>
          <w:sz w:val="30"/>
          <w:szCs w:val="30"/>
          <w:rtl/>
          <w:lang w:eastAsia="zh-TW"/>
        </w:rPr>
      </w:pPr>
      <w:bookmarkStart w:id="0" w:name="_GoBack"/>
      <w:bookmarkEnd w:id="0"/>
    </w:p>
    <w:p w:rsidR="00830BE3" w:rsidRPr="00915FF5" w:rsidRDefault="00830BE3" w:rsidP="00915FF5">
      <w:pPr>
        <w:rPr>
          <w:szCs w:val="20"/>
          <w:rtl/>
        </w:rPr>
      </w:pPr>
    </w:p>
    <w:sectPr w:rsidR="00830BE3" w:rsidRPr="00915FF5">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D0D" w:rsidRDefault="00347D0D" w:rsidP="00830BE3">
      <w:r>
        <w:separator/>
      </w:r>
    </w:p>
  </w:endnote>
  <w:endnote w:type="continuationSeparator" w:id="0">
    <w:p w:rsidR="00347D0D" w:rsidRDefault="00347D0D" w:rsidP="008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D0D" w:rsidRDefault="00347D0D" w:rsidP="00830BE3">
      <w:r>
        <w:separator/>
      </w:r>
    </w:p>
  </w:footnote>
  <w:footnote w:type="continuationSeparator" w:id="0">
    <w:p w:rsidR="00347D0D" w:rsidRDefault="00347D0D" w:rsidP="00830BE3">
      <w:r>
        <w:continuationSeparator/>
      </w:r>
    </w:p>
  </w:footnote>
  <w:footnote w:id="1">
    <w:p w:rsidR="00915FF5" w:rsidRPr="00776568" w:rsidRDefault="00915FF5" w:rsidP="00915FF5">
      <w:pPr>
        <w:pStyle w:val="FootnoteText"/>
        <w:spacing w:after="20" w:line="300" w:lineRule="exact"/>
        <w:ind w:left="1134"/>
        <w:jc w:val="both"/>
        <w:rPr>
          <w:rFonts w:cs="Traditional Arabic"/>
          <w:szCs w:val="30"/>
        </w:rPr>
      </w:pPr>
      <w:r w:rsidRPr="00D259EE">
        <w:rPr>
          <w:rFonts w:cs="Traditional Arabic"/>
          <w:sz w:val="26"/>
          <w:szCs w:val="26"/>
          <w:rtl/>
        </w:rPr>
        <w:t>(</w:t>
      </w:r>
      <w:r w:rsidRPr="00D259EE">
        <w:rPr>
          <w:rStyle w:val="FootnoteReference"/>
          <w:rFonts w:cs="Traditional Arabic"/>
          <w:sz w:val="26"/>
          <w:szCs w:val="26"/>
          <w:rtl/>
        </w:rPr>
        <w:footnoteRef/>
      </w:r>
      <w:r w:rsidRPr="00D259EE">
        <w:rPr>
          <w:rFonts w:cs="Traditional Arabic"/>
          <w:sz w:val="26"/>
          <w:szCs w:val="26"/>
          <w:rtl/>
        </w:rPr>
        <w:t>)</w:t>
      </w:r>
      <w:r w:rsidRPr="00D259EE">
        <w:rPr>
          <w:rFonts w:asciiTheme="majorBidi" w:hAnsiTheme="majorBidi" w:cstheme="majorBidi"/>
          <w:sz w:val="18"/>
          <w:szCs w:val="18"/>
        </w:rPr>
        <w:t>UNEP/FAO/RC/COP.9/8/Add.1</w:t>
      </w:r>
      <w:r w:rsidRPr="00955309">
        <w:rPr>
          <w:rFonts w:ascii="Traditional Arabic" w:hAnsi="Traditional Arabic" w:cs="Traditional Arabic"/>
          <w:sz w:val="26"/>
          <w:szCs w:val="26"/>
        </w:rPr>
        <w:t xml:space="preserve"> </w:t>
      </w:r>
      <w:r>
        <w:rPr>
          <w:rFonts w:ascii="Traditional Arabic" w:hAnsi="Traditional Arabic" w:cs="Traditional Arabic"/>
          <w:sz w:val="26"/>
          <w:szCs w:val="26"/>
        </w:rPr>
        <w:t xml:space="preserve"> </w:t>
      </w:r>
      <w:r w:rsidRPr="00955309">
        <w:rPr>
          <w:rFonts w:cs="Traditional Arabic" w:hint="cs"/>
          <w:sz w:val="26"/>
          <w:szCs w:val="26"/>
          <w:rtl/>
        </w:rPr>
        <w:t>، المرفق.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E3" w:rsidRDefault="00830BE3" w:rsidP="00816550">
    <w:pPr>
      <w:pStyle w:val="Header"/>
      <w:spacing w:before="20" w:after="40"/>
      <w:rPr>
        <w:sz w:val="17"/>
        <w:szCs w:val="17"/>
      </w:rPr>
    </w:pPr>
    <w:r>
      <w:rPr>
        <w:sz w:val="17"/>
        <w:szCs w:val="17"/>
      </w:rPr>
      <w:t>UNEP/POPS/COP.9/30</w:t>
    </w:r>
  </w:p>
  <w:p w:rsidR="00830BE3" w:rsidRDefault="00830BE3" w:rsidP="00816550">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8561A"/>
    <w:multiLevelType w:val="singleLevel"/>
    <w:tmpl w:val="779E85D6"/>
    <w:lvl w:ilvl="0">
      <w:numFmt w:val="ganada"/>
      <w:pStyle w:val="Heading4"/>
      <w:lvlText w:val="%1"/>
      <w:lvlJc w:val="left"/>
      <w:pPr>
        <w:tabs>
          <w:tab w:val="num" w:pos="360"/>
        </w:tabs>
        <w:ind w:right="360" w:hanging="360"/>
      </w:pPr>
      <w:rPr>
        <w:rFonts w:hint="default"/>
      </w:rPr>
    </w:lvl>
  </w:abstractNum>
  <w:abstractNum w:abstractNumId="1" w15:restartNumberingAfterBreak="0">
    <w:nsid w:val="52A66A9D"/>
    <w:multiLevelType w:val="multilevel"/>
    <w:tmpl w:val="6EDC70F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num>
  <w:num w:numId="3">
    <w:abstractNumId w:val="1"/>
    <w:lvlOverride w:ilvl="0">
      <w:startOverride w:val="1"/>
      <w:lvl w:ilvl="0">
        <w:start w:val="1"/>
        <w:numFmt w:val="decimal"/>
        <w:pStyle w:val="Normalnumber"/>
        <w:lvlText w:val="%1-"/>
        <w:lvlJc w:val="left"/>
        <w:pPr>
          <w:tabs>
            <w:tab w:val="num" w:pos="567"/>
          </w:tabs>
          <w:ind w:left="1247" w:firstLine="0"/>
        </w:pPr>
        <w:rPr>
          <w:rFonts w:ascii="Times New Roman" w:eastAsia="Times New Roman" w:hAnsi="Times New Roman" w:cs="Traditional Arabic"/>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347D0D"/>
    <w:rsid w:val="00830BE3"/>
    <w:rsid w:val="00915FF5"/>
    <w:rsid w:val="00AA70D0"/>
    <w:rsid w:val="00F935A6"/>
    <w:rsid w:val="00FA6F08"/>
    <w:rsid w:val="00FE2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paragraph" w:styleId="Heading4">
    <w:name w:val="heading 4"/>
    <w:aliases w:val="MainPara"/>
    <w:basedOn w:val="Normal"/>
    <w:next w:val="Normal"/>
    <w:link w:val="Heading4Char"/>
    <w:qFormat/>
    <w:rsid w:val="00830BE3"/>
    <w:pPr>
      <w:keepNext/>
      <w:numPr>
        <w:numId w:val="2"/>
      </w:numPr>
      <w:tabs>
        <w:tab w:val="clear" w:pos="360"/>
        <w:tab w:val="num" w:pos="720"/>
      </w:tabs>
      <w:bidi w:val="0"/>
      <w:ind w:left="720" w:right="0" w:hanging="720"/>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numPr>
        <w:numId w:val="1"/>
      </w:numPr>
      <w:tabs>
        <w:tab w:val="left" w:pos="624"/>
      </w:tabs>
      <w:bidi w:val="0"/>
      <w:spacing w:after="120"/>
    </w:pPr>
    <w:rPr>
      <w:rFonts w:asciiTheme="minorHAnsi" w:eastAsiaTheme="minorEastAsia" w:hAnsiTheme="minorHAnsi" w:cstheme="minorBidi"/>
      <w:noProof w:val="0"/>
      <w:sz w:val="22"/>
      <w:szCs w:val="22"/>
      <w:lang w:val="en-GB" w:eastAsia="zh-CN"/>
    </w:rPr>
  </w:style>
  <w:style w:type="character" w:customStyle="1" w:styleId="Heading4Char">
    <w:name w:val="Heading 4 Char"/>
    <w:basedOn w:val="DefaultParagraphFont"/>
    <w:link w:val="Heading4"/>
    <w:rsid w:val="00830BE3"/>
    <w:rPr>
      <w:rFonts w:ascii="Times New Roman" w:eastAsia="Times New Roman" w:hAnsi="Times New Roman" w:cs="Simplified Arabic"/>
      <w:noProof/>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uiPriority w:val="99"/>
    <w:rsid w:val="00830BE3"/>
    <w:pPr>
      <w:tabs>
        <w:tab w:val="center" w:pos="4153"/>
        <w:tab w:val="right" w:pos="8306"/>
      </w:tabs>
    </w:pPr>
    <w:rPr>
      <w:szCs w:val="24"/>
    </w:r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uiPriority w:val="99"/>
    <w:rsid w:val="00830BE3"/>
    <w:rPr>
      <w:rFonts w:ascii="Times" w:eastAsia="Times New Roman" w:hAnsi="Times" w:cs="Simplified Arabic"/>
      <w:noProof/>
      <w:sz w:val="20"/>
      <w:szCs w:val="24"/>
      <w:lang w:eastAsia="en-US"/>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830BE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30BE3"/>
    <w:rPr>
      <w:rFonts w:ascii="Times" w:eastAsia="Times New Roman" w:hAnsi="Times" w:cs="Simplified Arabic"/>
      <w:noProof/>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uiPriority w:val="99"/>
    <w:qFormat/>
    <w:rsid w:val="00830BE3"/>
    <w:rPr>
      <w:vertAlign w:val="superscript"/>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830BE3"/>
    <w:pPr>
      <w:bidi w:val="0"/>
      <w:spacing w:before="120" w:after="160" w:line="240" w:lineRule="exact"/>
    </w:pPr>
    <w:rPr>
      <w:rFonts w:asciiTheme="minorHAnsi" w:eastAsiaTheme="minorEastAsia" w:hAnsiTheme="minorHAnsi" w:cstheme="minorBidi"/>
      <w:noProof w:val="0"/>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710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2019-11-27T19:35:00Z</dcterms:created>
  <dcterms:modified xsi:type="dcterms:W3CDTF">2019-11-27T19:35:00Z</dcterms:modified>
</cp:coreProperties>
</file>