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0BA0" w:rsidRPr="00A94931" w:rsidRDefault="00490BA0" w:rsidP="00490BA0">
      <w:pPr>
        <w:pStyle w:val="BBTitle"/>
        <w:rPr>
          <w:lang w:val="fr-FR"/>
        </w:rPr>
      </w:pPr>
      <w:r w:rsidRPr="00A94931">
        <w:rPr>
          <w:bCs/>
          <w:lang w:val="fr-FR"/>
        </w:rPr>
        <w:t>RC-9/4 : Inscription du phorate à l’Annexe III de la Convention de Rotterdam</w:t>
      </w:r>
    </w:p>
    <w:p w:rsidR="00490BA0" w:rsidRPr="00620423" w:rsidRDefault="00490BA0" w:rsidP="00490BA0">
      <w:pPr>
        <w:pStyle w:val="NormalNo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260" w:firstLine="624"/>
        <w:rPr>
          <w:i/>
          <w:lang w:val="fr-FR"/>
        </w:rPr>
      </w:pPr>
      <w:r w:rsidRPr="00620423">
        <w:rPr>
          <w:i/>
          <w:iCs/>
          <w:lang w:val="fr-FR"/>
        </w:rPr>
        <w:t>La Conférence des Parties,</w:t>
      </w:r>
    </w:p>
    <w:p w:rsidR="00490BA0" w:rsidRPr="00620423" w:rsidRDefault="00490BA0" w:rsidP="00490BA0">
      <w:pPr>
        <w:pStyle w:val="NormalNo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260" w:firstLine="624"/>
        <w:rPr>
          <w:lang w:val="fr-FR"/>
        </w:rPr>
      </w:pPr>
      <w:r w:rsidRPr="00620423">
        <w:rPr>
          <w:i/>
          <w:iCs/>
          <w:lang w:val="fr-FR"/>
        </w:rPr>
        <w:t>Notant avec satisfaction</w:t>
      </w:r>
      <w:r w:rsidRPr="00620423">
        <w:rPr>
          <w:lang w:val="fr-FR"/>
        </w:rPr>
        <w:t xml:space="preserve"> les travaux du Comité d’étude des produits chimiques,</w:t>
      </w:r>
    </w:p>
    <w:p w:rsidR="00490BA0" w:rsidRPr="00620423" w:rsidRDefault="00490BA0" w:rsidP="00490BA0">
      <w:pPr>
        <w:pStyle w:val="NormalNonumber"/>
        <w:keepNext/>
        <w:keepLines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260" w:firstLine="624"/>
        <w:rPr>
          <w:lang w:val="fr-FR"/>
        </w:rPr>
      </w:pPr>
      <w:r w:rsidRPr="00620423">
        <w:rPr>
          <w:i/>
          <w:iCs/>
          <w:lang w:val="fr-FR"/>
        </w:rPr>
        <w:t>Ayant examiné</w:t>
      </w:r>
      <w:r w:rsidRPr="00620423">
        <w:rPr>
          <w:lang w:val="fr-FR"/>
        </w:rPr>
        <w:t xml:space="preserve"> la recommandation du Comité d’étude des produits chimiques tendant à soumettre le phorate à la procédure de consentement préalable en connaissance de cause et, en conséquence, à l’inscrire dans la catégorie des pesticides à l’Annexe III de la Convention de Rotterdam sur la procédure de consentement préalable en connaissance de cause applicable à certains produits chimiques et pesticides dangereux qui font l’objet d’un commerce international,</w:t>
      </w:r>
    </w:p>
    <w:p w:rsidR="00490BA0" w:rsidRPr="00620423" w:rsidRDefault="00490BA0" w:rsidP="00490BA0">
      <w:pPr>
        <w:pStyle w:val="NormalNo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260" w:firstLine="624"/>
        <w:rPr>
          <w:lang w:val="fr-FR"/>
        </w:rPr>
      </w:pPr>
      <w:r w:rsidRPr="00620423">
        <w:rPr>
          <w:i/>
          <w:iCs/>
          <w:lang w:val="fr-FR"/>
        </w:rPr>
        <w:t xml:space="preserve">Considérant </w:t>
      </w:r>
      <w:r w:rsidRPr="00620423">
        <w:rPr>
          <w:lang w:val="fr-FR"/>
        </w:rPr>
        <w:t xml:space="preserve">que toutes les conditions régissant l’inscription d’une substance à l’Annexe III de la Convention de Rotterdam ont </w:t>
      </w:r>
      <w:r>
        <w:rPr>
          <w:lang w:val="fr-FR"/>
        </w:rPr>
        <w:t xml:space="preserve">été </w:t>
      </w:r>
      <w:r w:rsidRPr="00620423">
        <w:rPr>
          <w:lang w:val="fr-FR"/>
        </w:rPr>
        <w:t>remplies,</w:t>
      </w:r>
    </w:p>
    <w:p w:rsidR="00490BA0" w:rsidRPr="00620423" w:rsidRDefault="00490BA0" w:rsidP="00490BA0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after="120"/>
        <w:ind w:left="1260" w:firstLine="624"/>
      </w:pPr>
      <w:r w:rsidRPr="00620423">
        <w:t>1.</w:t>
      </w:r>
      <w:r w:rsidRPr="00620423">
        <w:tab/>
      </w:r>
      <w:r w:rsidRPr="00620423">
        <w:rPr>
          <w:i/>
          <w:iCs/>
        </w:rPr>
        <w:t xml:space="preserve">Décide </w:t>
      </w:r>
      <w:r w:rsidRPr="00620423">
        <w:t>d’amender l’Annexe III de la Convention de Rotterdam pour y inscrire le produit chimique suivant :</w:t>
      </w:r>
    </w:p>
    <w:p w:rsidR="00490BA0" w:rsidRPr="00620423" w:rsidRDefault="00490BA0" w:rsidP="00490BA0">
      <w:pPr>
        <w:tabs>
          <w:tab w:val="left" w:pos="624"/>
        </w:tabs>
        <w:spacing w:after="120"/>
        <w:ind w:left="1247" w:firstLine="624"/>
        <w:rPr>
          <w:snapToGrid w:val="0"/>
        </w:rPr>
      </w:pPr>
    </w:p>
    <w:tbl>
      <w:tblPr>
        <w:tblW w:w="8363" w:type="dxa"/>
        <w:jc w:val="right"/>
        <w:tblLayout w:type="fixed"/>
        <w:tblLook w:val="01E0" w:firstRow="1" w:lastRow="1" w:firstColumn="1" w:lastColumn="1" w:noHBand="0" w:noVBand="0"/>
      </w:tblPr>
      <w:tblGrid>
        <w:gridCol w:w="2967"/>
        <w:gridCol w:w="2788"/>
        <w:gridCol w:w="2608"/>
      </w:tblGrid>
      <w:tr w:rsidR="00490BA0" w:rsidRPr="00620423" w:rsidTr="007B6A44">
        <w:trPr>
          <w:jc w:val="right"/>
        </w:trPr>
        <w:tc>
          <w:tcPr>
            <w:tcW w:w="2715" w:type="dxa"/>
            <w:tcBorders>
              <w:top w:val="single" w:sz="4" w:space="0" w:color="auto"/>
              <w:bottom w:val="single" w:sz="12" w:space="0" w:color="auto"/>
            </w:tcBorders>
          </w:tcPr>
          <w:p w:rsidR="00490BA0" w:rsidRPr="00620423" w:rsidRDefault="00490BA0" w:rsidP="007B6A44">
            <w:pPr>
              <w:keepNext/>
              <w:spacing w:before="60" w:after="60"/>
              <w:outlineLvl w:val="3"/>
              <w:rPr>
                <w:bCs/>
                <w:i/>
                <w:snapToGrid w:val="0"/>
                <w:sz w:val="18"/>
                <w:szCs w:val="18"/>
              </w:rPr>
            </w:pPr>
            <w:r w:rsidRPr="00620423">
              <w:rPr>
                <w:i/>
                <w:iCs/>
                <w:sz w:val="18"/>
                <w:szCs w:val="18"/>
              </w:rPr>
              <w:t>Nom du produit chimique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12" w:space="0" w:color="auto"/>
            </w:tcBorders>
          </w:tcPr>
          <w:p w:rsidR="00490BA0" w:rsidRPr="00620423" w:rsidRDefault="00490BA0" w:rsidP="007B6A44">
            <w:pPr>
              <w:spacing w:before="60" w:after="60"/>
              <w:rPr>
                <w:bCs/>
                <w:i/>
                <w:sz w:val="18"/>
                <w:szCs w:val="18"/>
              </w:rPr>
            </w:pPr>
            <w:r w:rsidRPr="00620423">
              <w:rPr>
                <w:i/>
                <w:iCs/>
                <w:sz w:val="18"/>
                <w:szCs w:val="18"/>
              </w:rPr>
              <w:t>Numéro du Service des résumés analytiques de chimie</w:t>
            </w:r>
          </w:p>
        </w:tc>
        <w:tc>
          <w:tcPr>
            <w:tcW w:w="2387" w:type="dxa"/>
            <w:tcBorders>
              <w:top w:val="single" w:sz="4" w:space="0" w:color="auto"/>
              <w:bottom w:val="single" w:sz="12" w:space="0" w:color="auto"/>
            </w:tcBorders>
          </w:tcPr>
          <w:p w:rsidR="00490BA0" w:rsidRPr="00620423" w:rsidRDefault="00490BA0" w:rsidP="007B6A44">
            <w:pPr>
              <w:spacing w:before="60" w:after="60"/>
              <w:rPr>
                <w:bCs/>
                <w:i/>
                <w:sz w:val="18"/>
                <w:szCs w:val="18"/>
              </w:rPr>
            </w:pPr>
            <w:r w:rsidRPr="00620423">
              <w:rPr>
                <w:i/>
                <w:iCs/>
                <w:sz w:val="18"/>
                <w:szCs w:val="18"/>
              </w:rPr>
              <w:t>Catégorie</w:t>
            </w:r>
          </w:p>
        </w:tc>
      </w:tr>
      <w:tr w:rsidR="00490BA0" w:rsidRPr="00620423" w:rsidTr="007B6A44">
        <w:trPr>
          <w:jc w:val="right"/>
        </w:trPr>
        <w:tc>
          <w:tcPr>
            <w:tcW w:w="2715" w:type="dxa"/>
            <w:tcBorders>
              <w:top w:val="single" w:sz="12" w:space="0" w:color="auto"/>
              <w:bottom w:val="single" w:sz="12" w:space="0" w:color="auto"/>
            </w:tcBorders>
          </w:tcPr>
          <w:p w:rsidR="00490BA0" w:rsidRPr="00620423" w:rsidRDefault="00490BA0" w:rsidP="007B6A44">
            <w:pPr>
              <w:spacing w:before="60" w:after="60"/>
              <w:rPr>
                <w:snapToGrid w:val="0"/>
                <w:sz w:val="18"/>
                <w:szCs w:val="18"/>
              </w:rPr>
            </w:pPr>
            <w:r w:rsidRPr="00620423">
              <w:rPr>
                <w:sz w:val="18"/>
                <w:szCs w:val="18"/>
              </w:rPr>
              <w:t>Phorate</w:t>
            </w:r>
          </w:p>
        </w:tc>
        <w:tc>
          <w:tcPr>
            <w:tcW w:w="2552" w:type="dxa"/>
            <w:tcBorders>
              <w:top w:val="single" w:sz="12" w:space="0" w:color="auto"/>
              <w:bottom w:val="single" w:sz="12" w:space="0" w:color="auto"/>
            </w:tcBorders>
          </w:tcPr>
          <w:p w:rsidR="00490BA0" w:rsidRPr="00620423" w:rsidRDefault="00490BA0" w:rsidP="007B6A44">
            <w:pPr>
              <w:spacing w:before="60" w:after="60"/>
              <w:rPr>
                <w:sz w:val="18"/>
                <w:szCs w:val="18"/>
              </w:rPr>
            </w:pPr>
            <w:r w:rsidRPr="00620423">
              <w:rPr>
                <w:rFonts w:eastAsia="SimSun"/>
                <w:sz w:val="18"/>
                <w:szCs w:val="18"/>
              </w:rPr>
              <w:t>298-02-2</w:t>
            </w:r>
          </w:p>
        </w:tc>
        <w:tc>
          <w:tcPr>
            <w:tcW w:w="2387" w:type="dxa"/>
            <w:tcBorders>
              <w:top w:val="single" w:sz="12" w:space="0" w:color="auto"/>
              <w:bottom w:val="single" w:sz="12" w:space="0" w:color="auto"/>
            </w:tcBorders>
          </w:tcPr>
          <w:p w:rsidR="00490BA0" w:rsidRPr="00620423" w:rsidRDefault="00490BA0" w:rsidP="007B6A44">
            <w:pPr>
              <w:spacing w:before="60" w:after="60"/>
              <w:rPr>
                <w:bCs/>
                <w:sz w:val="18"/>
                <w:szCs w:val="18"/>
              </w:rPr>
            </w:pPr>
            <w:r w:rsidRPr="00620423">
              <w:rPr>
                <w:bCs/>
                <w:sz w:val="18"/>
                <w:szCs w:val="18"/>
              </w:rPr>
              <w:t>Pesticide</w:t>
            </w:r>
          </w:p>
        </w:tc>
      </w:tr>
    </w:tbl>
    <w:p w:rsidR="00490BA0" w:rsidRPr="00620423" w:rsidRDefault="00490BA0" w:rsidP="00490BA0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before="120" w:after="120"/>
        <w:ind w:left="1260" w:firstLine="624"/>
      </w:pPr>
      <w:r w:rsidRPr="00620423">
        <w:t>2.</w:t>
      </w:r>
      <w:r w:rsidRPr="00620423">
        <w:tab/>
      </w:r>
      <w:r w:rsidRPr="00620423">
        <w:rPr>
          <w:i/>
          <w:iCs/>
        </w:rPr>
        <w:t>Décide également</w:t>
      </w:r>
      <w:r w:rsidRPr="00620423">
        <w:t xml:space="preserve"> que cet amendement entrera en vigueur à l’égard de toutes les Parties le 16 septembre 2019 ;</w:t>
      </w:r>
    </w:p>
    <w:p w:rsidR="00490BA0" w:rsidRDefault="00490BA0" w:rsidP="00490BA0">
      <w:pPr>
        <w:pStyle w:val="NormalNo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ind w:left="1260" w:firstLine="624"/>
        <w:rPr>
          <w:lang w:val="fr-FR"/>
        </w:rPr>
      </w:pPr>
      <w:r w:rsidRPr="00620423">
        <w:rPr>
          <w:lang w:val="fr-FR"/>
        </w:rPr>
        <w:t>3.</w:t>
      </w:r>
      <w:r w:rsidRPr="00620423">
        <w:rPr>
          <w:lang w:val="fr-FR"/>
        </w:rPr>
        <w:tab/>
      </w:r>
      <w:r w:rsidRPr="00620423">
        <w:rPr>
          <w:i/>
          <w:iCs/>
          <w:lang w:val="fr-FR"/>
        </w:rPr>
        <w:t xml:space="preserve">Approuve </w:t>
      </w:r>
      <w:r w:rsidRPr="00620423">
        <w:rPr>
          <w:lang w:val="fr-FR"/>
        </w:rPr>
        <w:t>le document d’orientation des décisions concernant le phorate</w:t>
      </w:r>
      <w:r w:rsidRPr="00A94931">
        <w:rPr>
          <w:vertAlign w:val="superscript"/>
          <w:lang w:val="fr-FR"/>
        </w:rPr>
        <w:footnoteReference w:id="1"/>
      </w:r>
      <w:r w:rsidRPr="00A94931">
        <w:rPr>
          <w:lang w:val="fr-FR"/>
        </w:rPr>
        <w:t xml:space="preserve">. </w:t>
      </w:r>
    </w:p>
    <w:p w:rsidR="00F1607B" w:rsidRPr="00490BA0" w:rsidRDefault="00F1607B" w:rsidP="00490BA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</w:pPr>
      <w:bookmarkStart w:id="0" w:name="_GoBack"/>
      <w:bookmarkEnd w:id="0"/>
    </w:p>
    <w:sectPr w:rsidR="00F1607B" w:rsidRPr="00490BA0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0D3E" w:rsidRDefault="002A0D3E" w:rsidP="00977CAC">
      <w:r>
        <w:separator/>
      </w:r>
    </w:p>
  </w:endnote>
  <w:endnote w:type="continuationSeparator" w:id="0">
    <w:p w:rsidR="002A0D3E" w:rsidRDefault="002A0D3E" w:rsidP="00977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5545999"/>
      <w:docPartObj>
        <w:docPartGallery w:val="Page Numbers (Bottom of Page)"/>
        <w:docPartUnique/>
      </w:docPartObj>
    </w:sdtPr>
    <w:sdtEndPr>
      <w:rPr>
        <w:b/>
        <w:noProof/>
      </w:rPr>
    </w:sdtEndPr>
    <w:sdtContent>
      <w:p w:rsidR="006E4C13" w:rsidRPr="00F112FE" w:rsidRDefault="002A0D3E">
        <w:pPr>
          <w:pStyle w:val="Footer"/>
          <w:rPr>
            <w:b/>
          </w:rPr>
        </w:pPr>
        <w:r w:rsidRPr="00F112FE">
          <w:rPr>
            <w:b/>
          </w:rPr>
          <w:fldChar w:fldCharType="begin"/>
        </w:r>
        <w:r w:rsidRPr="00F112FE">
          <w:rPr>
            <w:b/>
          </w:rPr>
          <w:instrText xml:space="preserve"> PAGE   \* MERGEFORMAT </w:instrText>
        </w:r>
        <w:r w:rsidRPr="00F112FE">
          <w:rPr>
            <w:b/>
          </w:rPr>
          <w:fldChar w:fldCharType="separate"/>
        </w:r>
        <w:r>
          <w:rPr>
            <w:b/>
            <w:noProof/>
          </w:rPr>
          <w:t>4</w:t>
        </w:r>
        <w:r w:rsidRPr="00F112FE">
          <w:rPr>
            <w:b/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9172109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E4C13" w:rsidRDefault="002A0D3E">
        <w:pPr>
          <w:pStyle w:val="Footer"/>
          <w:jc w:val="right"/>
        </w:pPr>
        <w:r w:rsidRPr="00F112FE">
          <w:rPr>
            <w:b/>
          </w:rPr>
          <w:fldChar w:fldCharType="begin"/>
        </w:r>
        <w:r w:rsidRPr="00F112FE">
          <w:rPr>
            <w:b/>
          </w:rPr>
          <w:instrText xml:space="preserve"> PAGE   \* MERGEFORMAT </w:instrText>
        </w:r>
        <w:r w:rsidRPr="00F112FE">
          <w:rPr>
            <w:b/>
          </w:rPr>
          <w:fldChar w:fldCharType="separate"/>
        </w:r>
        <w:r>
          <w:rPr>
            <w:b/>
            <w:noProof/>
          </w:rPr>
          <w:t>3</w:t>
        </w:r>
        <w:r w:rsidRPr="00F112FE">
          <w:rPr>
            <w:b/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4C13" w:rsidRPr="00924160" w:rsidRDefault="002A0D3E" w:rsidP="00924160">
    <w:pPr>
      <w:pStyle w:val="Footer"/>
      <w:rPr>
        <w:sz w:val="20"/>
      </w:rPr>
    </w:pPr>
    <w:r w:rsidRPr="00924160">
      <w:rPr>
        <w:sz w:val="20"/>
      </w:rPr>
      <w:t>K1902808</w:t>
    </w:r>
    <w:r>
      <w:rPr>
        <w:sz w:val="20"/>
      </w:rPr>
      <w:tab/>
    </w:r>
    <w:r>
      <w:rPr>
        <w:sz w:val="20"/>
      </w:rPr>
      <w:t>22</w:t>
    </w:r>
    <w:r>
      <w:rPr>
        <w:sz w:val="20"/>
      </w:rPr>
      <w:t>1119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0D3E" w:rsidRDefault="002A0D3E" w:rsidP="00977CAC">
      <w:r>
        <w:separator/>
      </w:r>
    </w:p>
  </w:footnote>
  <w:footnote w:type="continuationSeparator" w:id="0">
    <w:p w:rsidR="002A0D3E" w:rsidRDefault="002A0D3E" w:rsidP="00977CAC">
      <w:r>
        <w:continuationSeparator/>
      </w:r>
    </w:p>
  </w:footnote>
  <w:footnote w:id="1">
    <w:p w:rsidR="00490BA0" w:rsidRPr="00476F9C" w:rsidRDefault="00490BA0" w:rsidP="00490BA0">
      <w:pPr>
        <w:pStyle w:val="FootnoteText"/>
        <w:tabs>
          <w:tab w:val="left" w:pos="624"/>
        </w:tabs>
        <w:rPr>
          <w:szCs w:val="18"/>
          <w:lang w:val="en-US"/>
        </w:rPr>
      </w:pPr>
      <w:r w:rsidRPr="00507A3D">
        <w:rPr>
          <w:rStyle w:val="FootnoteReference"/>
        </w:rPr>
        <w:footnoteRef/>
      </w:r>
      <w:r w:rsidRPr="00476F9C">
        <w:rPr>
          <w:lang w:val="en-US"/>
        </w:rPr>
        <w:t xml:space="preserve"> UNEP/FAO/RC/COP.9/8/Add.1, </w:t>
      </w:r>
      <w:proofErr w:type="spellStart"/>
      <w:r w:rsidRPr="00476F9C">
        <w:rPr>
          <w:lang w:val="en-US"/>
        </w:rPr>
        <w:t>annexe</w:t>
      </w:r>
      <w:proofErr w:type="spellEnd"/>
      <w:r w:rsidRPr="00476F9C">
        <w:rPr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4C13" w:rsidRPr="00F112FE" w:rsidRDefault="002A0D3E" w:rsidP="0017315A">
    <w:pPr>
      <w:pStyle w:val="Header"/>
    </w:pPr>
    <w:r w:rsidRPr="00F112FE">
      <w:rPr>
        <w:rStyle w:val="DeltaViewInsertion"/>
        <w:szCs w:val="24"/>
        <w:lang w:val="en-US"/>
      </w:rPr>
      <w:t>UNEP/FAO/RC/COP.9/23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4C13" w:rsidRDefault="002A0D3E" w:rsidP="006A240C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22341"/>
    <w:multiLevelType w:val="multilevel"/>
    <w:tmpl w:val="2000001D"/>
    <w:styleLink w:val="Styl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2D8505DA"/>
    <w:multiLevelType w:val="multilevel"/>
    <w:tmpl w:val="2000001D"/>
    <w:styleLink w:val="Style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3C0427F9"/>
    <w:multiLevelType w:val="multilevel"/>
    <w:tmpl w:val="2000001D"/>
    <w:numStyleLink w:val="Style1"/>
  </w:abstractNum>
  <w:abstractNum w:abstractNumId="3" w15:restartNumberingAfterBreak="0">
    <w:nsid w:val="46EF7A42"/>
    <w:multiLevelType w:val="multilevel"/>
    <w:tmpl w:val="4046195C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default"/>
      </w:rPr>
    </w:lvl>
  </w:abstractNum>
  <w:abstractNum w:abstractNumId="4" w15:restartNumberingAfterBreak="0">
    <w:nsid w:val="4FC8778C"/>
    <w:multiLevelType w:val="hybridMultilevel"/>
    <w:tmpl w:val="1EB8EEFE"/>
    <w:lvl w:ilvl="0" w:tplc="C9402A46">
      <w:start w:val="1"/>
      <w:numFmt w:val="decimal"/>
      <w:lvlText w:val="%1."/>
      <w:lvlJc w:val="left"/>
      <w:pPr>
        <w:ind w:left="2384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894" w:hanging="360"/>
      </w:pPr>
    </w:lvl>
    <w:lvl w:ilvl="2" w:tplc="0809001B" w:tentative="1">
      <w:start w:val="1"/>
      <w:numFmt w:val="lowerRoman"/>
      <w:lvlText w:val="%3."/>
      <w:lvlJc w:val="right"/>
      <w:pPr>
        <w:ind w:left="3614" w:hanging="180"/>
      </w:pPr>
    </w:lvl>
    <w:lvl w:ilvl="3" w:tplc="0809000F" w:tentative="1">
      <w:start w:val="1"/>
      <w:numFmt w:val="decimal"/>
      <w:lvlText w:val="%4."/>
      <w:lvlJc w:val="left"/>
      <w:pPr>
        <w:ind w:left="4334" w:hanging="360"/>
      </w:pPr>
    </w:lvl>
    <w:lvl w:ilvl="4" w:tplc="08090019" w:tentative="1">
      <w:start w:val="1"/>
      <w:numFmt w:val="lowerLetter"/>
      <w:lvlText w:val="%5."/>
      <w:lvlJc w:val="left"/>
      <w:pPr>
        <w:ind w:left="5054" w:hanging="360"/>
      </w:pPr>
    </w:lvl>
    <w:lvl w:ilvl="5" w:tplc="0809001B" w:tentative="1">
      <w:start w:val="1"/>
      <w:numFmt w:val="lowerRoman"/>
      <w:lvlText w:val="%6."/>
      <w:lvlJc w:val="right"/>
      <w:pPr>
        <w:ind w:left="5774" w:hanging="180"/>
      </w:pPr>
    </w:lvl>
    <w:lvl w:ilvl="6" w:tplc="0809000F" w:tentative="1">
      <w:start w:val="1"/>
      <w:numFmt w:val="decimal"/>
      <w:lvlText w:val="%7."/>
      <w:lvlJc w:val="left"/>
      <w:pPr>
        <w:ind w:left="6494" w:hanging="360"/>
      </w:pPr>
    </w:lvl>
    <w:lvl w:ilvl="7" w:tplc="08090019" w:tentative="1">
      <w:start w:val="1"/>
      <w:numFmt w:val="lowerLetter"/>
      <w:lvlText w:val="%8."/>
      <w:lvlJc w:val="left"/>
      <w:pPr>
        <w:ind w:left="7214" w:hanging="360"/>
      </w:pPr>
    </w:lvl>
    <w:lvl w:ilvl="8" w:tplc="0809001B" w:tentative="1">
      <w:start w:val="1"/>
      <w:numFmt w:val="lowerRoman"/>
      <w:lvlText w:val="%9."/>
      <w:lvlJc w:val="right"/>
      <w:pPr>
        <w:ind w:left="7934" w:hanging="180"/>
      </w:pPr>
    </w:lvl>
  </w:abstractNum>
  <w:abstractNum w:abstractNumId="5" w15:restartNumberingAfterBreak="0">
    <w:nsid w:val="52A66A9D"/>
    <w:multiLevelType w:val="multilevel"/>
    <w:tmpl w:val="6BFAB9B0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1134"/>
        </w:tabs>
        <w:ind w:left="1247" w:firstLine="567"/>
      </w:pPr>
      <w:rPr>
        <w:rFonts w:ascii="Times New Roman" w:hAnsi="Times New Roman" w:hint="default"/>
        <w:color w:val="auto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6" w15:restartNumberingAfterBreak="0">
    <w:nsid w:val="6F7C4406"/>
    <w:multiLevelType w:val="hybridMultilevel"/>
    <w:tmpl w:val="B56C81C4"/>
    <w:lvl w:ilvl="0" w:tplc="DAB63988">
      <w:start w:val="1"/>
      <w:numFmt w:val="decimal"/>
      <w:lvlText w:val="%1."/>
      <w:lvlJc w:val="left"/>
      <w:pPr>
        <w:tabs>
          <w:tab w:val="num" w:pos="3215"/>
        </w:tabs>
        <w:ind w:left="3215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3935"/>
        </w:tabs>
        <w:ind w:left="393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55"/>
        </w:tabs>
        <w:ind w:left="465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375"/>
        </w:tabs>
        <w:ind w:left="537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095"/>
        </w:tabs>
        <w:ind w:left="609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15"/>
        </w:tabs>
        <w:ind w:left="681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35"/>
        </w:tabs>
        <w:ind w:left="753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55"/>
        </w:tabs>
        <w:ind w:left="825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975"/>
        </w:tabs>
        <w:ind w:left="8975" w:hanging="180"/>
      </w:pPr>
    </w:lvl>
  </w:abstractNum>
  <w:abstractNum w:abstractNumId="7" w15:restartNumberingAfterBreak="0">
    <w:nsid w:val="73234B49"/>
    <w:multiLevelType w:val="multilevel"/>
    <w:tmpl w:val="2000001D"/>
    <w:numStyleLink w:val="Style2"/>
  </w:abstractNum>
  <w:num w:numId="1">
    <w:abstractNumId w:val="5"/>
  </w:num>
  <w:num w:numId="2">
    <w:abstractNumId w:val="5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</w:num>
  <w:num w:numId="3">
    <w:abstractNumId w:val="3"/>
    <w:lvlOverride w:ilvl="1">
      <w:lvl w:ilvl="1">
        <w:start w:val="1"/>
        <w:numFmt w:val="lowerLetter"/>
        <w:lvlText w:val="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</w:num>
  <w:num w:numId="4">
    <w:abstractNumId w:val="6"/>
    <w:lvlOverride w:ilvl="0">
      <w:lvl w:ilvl="0" w:tplc="DAB63988">
        <w:start w:val="1"/>
        <w:numFmt w:val="decimal"/>
        <w:lvlText w:val="%1."/>
        <w:lvlJc w:val="left"/>
        <w:pPr>
          <w:tabs>
            <w:tab w:val="num" w:pos="3215"/>
          </w:tabs>
          <w:ind w:left="3215" w:hanging="360"/>
        </w:pPr>
        <w:rPr>
          <w:i w:val="0"/>
          <w:sz w:val="20"/>
          <w:szCs w:val="20"/>
        </w:rPr>
      </w:lvl>
    </w:lvlOverride>
  </w:num>
  <w:num w:numId="5">
    <w:abstractNumId w:val="1"/>
  </w:num>
  <w:num w:numId="6">
    <w:abstractNumId w:val="2"/>
  </w:num>
  <w:num w:numId="7">
    <w:abstractNumId w:val="0"/>
  </w:num>
  <w:num w:numId="8">
    <w:abstractNumId w:val="7"/>
  </w:num>
  <w:num w:numId="9">
    <w:abstractNumId w:val="5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%2)"/>
        <w:lvlJc w:val="left"/>
        <w:pPr>
          <w:tabs>
            <w:tab w:val="num" w:pos="1134"/>
          </w:tabs>
          <w:ind w:left="1247" w:firstLine="567"/>
        </w:pPr>
        <w:rPr>
          <w:rFonts w:ascii="Times New Roman" w:eastAsia="Times New Roman" w:hAnsi="Times New Roman" w:cs="Times New Roman"/>
        </w:rPr>
      </w:lvl>
    </w:lvlOverride>
    <w:lvlOverride w:ilvl="2">
      <w:startOverride w:val="1"/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10">
    <w:abstractNumId w:val="5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tabs>
            <w:tab w:val="num" w:pos="-56"/>
          </w:tabs>
          <w:ind w:left="624" w:firstLine="0"/>
        </w:pPr>
        <w:rPr>
          <w:sz w:val="20"/>
          <w:szCs w:val="20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  <w:pPr>
          <w:ind w:left="-623" w:firstLine="0"/>
        </w:pPr>
      </w:lvl>
    </w:lvlOverride>
    <w:lvlOverride w:ilvl="2">
      <w:startOverride w:val="1"/>
      <w:lvl w:ilvl="2">
        <w:start w:val="1"/>
        <w:numFmt w:val="decimal"/>
        <w:lvlText w:val=""/>
        <w:lvlJc w:val="left"/>
        <w:pPr>
          <w:ind w:left="-623" w:firstLine="0"/>
        </w:pPr>
      </w:lvl>
    </w:lvlOverride>
    <w:lvlOverride w:ilvl="3">
      <w:startOverride w:val="1"/>
      <w:lvl w:ilvl="3">
        <w:start w:val="1"/>
        <w:numFmt w:val="decimal"/>
        <w:lvlText w:val=""/>
        <w:lvlJc w:val="left"/>
        <w:pPr>
          <w:ind w:left="-623" w:firstLine="0"/>
        </w:pPr>
      </w:lvl>
    </w:lvlOverride>
    <w:lvlOverride w:ilvl="4">
      <w:startOverride w:val="1"/>
      <w:lvl w:ilvl="4">
        <w:start w:val="1"/>
        <w:numFmt w:val="decimal"/>
        <w:lvlText w:val=""/>
        <w:lvlJc w:val="left"/>
        <w:pPr>
          <w:ind w:left="-623" w:firstLine="0"/>
        </w:pPr>
      </w:lvl>
    </w:lvlOverride>
    <w:lvlOverride w:ilvl="5">
      <w:startOverride w:val="1"/>
      <w:lvl w:ilvl="5">
        <w:start w:val="1"/>
        <w:numFmt w:val="decimal"/>
        <w:lvlText w:val=""/>
        <w:lvlJc w:val="left"/>
        <w:pPr>
          <w:ind w:left="-623" w:firstLine="0"/>
        </w:pPr>
      </w:lvl>
    </w:lvlOverride>
    <w:lvlOverride w:ilvl="6">
      <w:startOverride w:val="1"/>
      <w:lvl w:ilvl="6">
        <w:start w:val="1"/>
        <w:numFmt w:val="decimal"/>
        <w:lvlText w:val=""/>
        <w:lvlJc w:val="left"/>
        <w:pPr>
          <w:ind w:left="-623" w:firstLine="0"/>
        </w:pPr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CAC"/>
    <w:rsid w:val="002A0D3E"/>
    <w:rsid w:val="00490BA0"/>
    <w:rsid w:val="00977CAC"/>
    <w:rsid w:val="00D44271"/>
    <w:rsid w:val="00F1607B"/>
    <w:rsid w:val="00F935A6"/>
    <w:rsid w:val="00FA6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E92ED7"/>
  <w15:chartTrackingRefBased/>
  <w15:docId w15:val="{14BCABCB-1B20-404B-9F51-6C3A1AAC9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77CAC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2">
    <w:name w:val="CH2"/>
    <w:basedOn w:val="Normal"/>
    <w:next w:val="Normal"/>
    <w:link w:val="CH2Char"/>
    <w:rsid w:val="00977CAC"/>
    <w:pPr>
      <w:keepNext/>
      <w:keepLines/>
      <w:tabs>
        <w:tab w:val="right" w:pos="851"/>
        <w:tab w:val="left" w:pos="4082"/>
      </w:tabs>
      <w:suppressAutoHyphens/>
      <w:spacing w:before="80" w:after="120"/>
      <w:ind w:left="1247" w:right="284" w:hanging="1247"/>
    </w:pPr>
    <w:rPr>
      <w:b/>
      <w:sz w:val="24"/>
      <w:szCs w:val="24"/>
      <w:lang w:val="en-GB"/>
    </w:rPr>
  </w:style>
  <w:style w:type="character" w:customStyle="1" w:styleId="CH2Char">
    <w:name w:val="CH2 Char"/>
    <w:link w:val="CH2"/>
    <w:locked/>
    <w:rsid w:val="00977CAC"/>
    <w:rPr>
      <w:rFonts w:ascii="Times New Roman" w:eastAsia="Times New Roman" w:hAnsi="Times New Roman" w:cs="Times New Roman"/>
      <w:b/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rsid w:val="00977CAC"/>
    <w:pPr>
      <w:tabs>
        <w:tab w:val="center" w:pos="4320"/>
        <w:tab w:val="right" w:pos="8640"/>
      </w:tabs>
      <w:spacing w:before="60" w:after="120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977CAC"/>
    <w:rPr>
      <w:rFonts w:ascii="Times New Roman" w:eastAsia="Times New Roman" w:hAnsi="Times New Roman" w:cs="Times New Roman"/>
      <w:sz w:val="18"/>
      <w:szCs w:val="20"/>
      <w:lang w:val="fr-FR" w:eastAsia="en-US"/>
    </w:rPr>
  </w:style>
  <w:style w:type="paragraph" w:customStyle="1" w:styleId="Normal-pool">
    <w:name w:val="Normal-pool"/>
    <w:link w:val="Normal-poolChar"/>
    <w:qFormat/>
    <w:rsid w:val="00977CAC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character" w:customStyle="1" w:styleId="Normal-poolChar">
    <w:name w:val="Normal-pool Char"/>
    <w:link w:val="Normal-pool"/>
    <w:rsid w:val="00977CAC"/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Header">
    <w:name w:val="header"/>
    <w:basedOn w:val="Normal"/>
    <w:link w:val="HeaderChar"/>
    <w:uiPriority w:val="99"/>
    <w:rsid w:val="00977CAC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977CAC"/>
    <w:rPr>
      <w:rFonts w:ascii="Times New Roman" w:eastAsia="Times New Roman" w:hAnsi="Times New Roman" w:cs="Times New Roman"/>
      <w:b/>
      <w:sz w:val="18"/>
      <w:szCs w:val="20"/>
      <w:lang w:val="fr-FR" w:eastAsia="en-US"/>
    </w:rPr>
  </w:style>
  <w:style w:type="paragraph" w:styleId="ListParagraph">
    <w:name w:val="List Paragraph"/>
    <w:basedOn w:val="Normal"/>
    <w:uiPriority w:val="34"/>
    <w:qFormat/>
    <w:rsid w:val="00977CAC"/>
    <w:pPr>
      <w:ind w:left="720"/>
    </w:pPr>
  </w:style>
  <w:style w:type="numbering" w:customStyle="1" w:styleId="Normallist">
    <w:name w:val="Normal_list"/>
    <w:basedOn w:val="NoList"/>
    <w:rsid w:val="00977CAC"/>
    <w:pPr>
      <w:numPr>
        <w:numId w:val="1"/>
      </w:numPr>
    </w:pPr>
  </w:style>
  <w:style w:type="paragraph" w:customStyle="1" w:styleId="Normalnumber">
    <w:name w:val="Normal_number"/>
    <w:basedOn w:val="Normal"/>
    <w:link w:val="NormalnumberChar"/>
    <w:qFormat/>
    <w:rsid w:val="00977CAC"/>
    <w:pPr>
      <w:numPr>
        <w:numId w:val="1"/>
      </w:numPr>
      <w:tabs>
        <w:tab w:val="clear" w:pos="1247"/>
        <w:tab w:val="clear" w:pos="1814"/>
        <w:tab w:val="clear" w:pos="2381"/>
        <w:tab w:val="clear" w:pos="2948"/>
        <w:tab w:val="clear" w:pos="3515"/>
        <w:tab w:val="left" w:pos="624"/>
      </w:tabs>
      <w:spacing w:after="120"/>
    </w:pPr>
    <w:rPr>
      <w:lang w:val="en-GB"/>
    </w:rPr>
  </w:style>
  <w:style w:type="character" w:customStyle="1" w:styleId="DeltaViewInsertion">
    <w:name w:val="DeltaView Insertion"/>
    <w:uiPriority w:val="99"/>
    <w:rsid w:val="00977CAC"/>
    <w:rPr>
      <w:color w:val="0000FF"/>
      <w:u w:val="double"/>
    </w:rPr>
  </w:style>
  <w:style w:type="numbering" w:customStyle="1" w:styleId="Style1">
    <w:name w:val="Style1"/>
    <w:uiPriority w:val="99"/>
    <w:rsid w:val="00977CAC"/>
    <w:pPr>
      <w:numPr>
        <w:numId w:val="5"/>
      </w:numPr>
    </w:pPr>
  </w:style>
  <w:style w:type="numbering" w:customStyle="1" w:styleId="Style2">
    <w:name w:val="Style2"/>
    <w:uiPriority w:val="99"/>
    <w:rsid w:val="00977CAC"/>
    <w:pPr>
      <w:numPr>
        <w:numId w:val="7"/>
      </w:numPr>
    </w:pPr>
  </w:style>
  <w:style w:type="character" w:styleId="FootnoteReference">
    <w:name w:val="footnote reference"/>
    <w:aliases w:val="16 Point,Superscript 6 Point,ftref,(Ref. de nota al pie),number,SUPERS,Footnote Reference Superscript,Ref,de nota al pie,註腳內容,de nota al pie + (Asian) MS Mincho,11 pt,Ref. de nota de rodapé1,Footnote Reference1,stylish"/>
    <w:rsid w:val="00F1607B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93,Char"/>
    <w:basedOn w:val="Normal"/>
    <w:link w:val="FootnoteTextChar"/>
    <w:rsid w:val="00F1607B"/>
    <w:pPr>
      <w:tabs>
        <w:tab w:val="left" w:pos="4082"/>
      </w:tabs>
      <w:spacing w:before="20" w:after="40"/>
      <w:ind w:left="1247"/>
    </w:pPr>
    <w:rPr>
      <w:sz w:val="18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basedOn w:val="DefaultParagraphFont"/>
    <w:link w:val="FootnoteText"/>
    <w:rsid w:val="00F1607B"/>
    <w:rPr>
      <w:rFonts w:ascii="Times New Roman" w:eastAsia="Times New Roman" w:hAnsi="Times New Roman" w:cs="Times New Roman"/>
      <w:sz w:val="18"/>
      <w:szCs w:val="20"/>
      <w:lang w:val="fr-FR" w:eastAsia="en-US"/>
    </w:rPr>
  </w:style>
  <w:style w:type="character" w:customStyle="1" w:styleId="NormalnumberChar">
    <w:name w:val="Normal_number Char"/>
    <w:link w:val="Normalnumber"/>
    <w:locked/>
    <w:rsid w:val="00F1607B"/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BBTitle">
    <w:name w:val="BB_Title"/>
    <w:basedOn w:val="Normal"/>
    <w:link w:val="BBTitleChar"/>
    <w:rsid w:val="00D44271"/>
    <w:pPr>
      <w:keepNext/>
      <w:keepLines/>
      <w:tabs>
        <w:tab w:val="left" w:pos="4082"/>
      </w:tabs>
      <w:suppressAutoHyphens/>
      <w:spacing w:before="320" w:after="240"/>
      <w:ind w:left="1247" w:right="567"/>
    </w:pPr>
    <w:rPr>
      <w:b/>
      <w:sz w:val="28"/>
      <w:szCs w:val="28"/>
      <w:lang w:val="en-GB"/>
    </w:rPr>
  </w:style>
  <w:style w:type="character" w:customStyle="1" w:styleId="BBTitleChar">
    <w:name w:val="BB_Title Char"/>
    <w:link w:val="BBTitle"/>
    <w:rsid w:val="00D44271"/>
    <w:rPr>
      <w:rFonts w:ascii="Times New Roman" w:eastAsia="Times New Roman" w:hAnsi="Times New Roman" w:cs="Times New Roman"/>
      <w:b/>
      <w:sz w:val="28"/>
      <w:szCs w:val="28"/>
      <w:lang w:val="en-GB" w:eastAsia="en-US"/>
    </w:rPr>
  </w:style>
  <w:style w:type="paragraph" w:customStyle="1" w:styleId="NormalNonumber">
    <w:name w:val="Normal_No_number"/>
    <w:basedOn w:val="Normal"/>
    <w:link w:val="NormalNonumberChar"/>
    <w:qFormat/>
    <w:rsid w:val="00D44271"/>
    <w:pPr>
      <w:tabs>
        <w:tab w:val="left" w:pos="4082"/>
      </w:tabs>
      <w:spacing w:after="120"/>
      <w:ind w:left="1247"/>
    </w:pPr>
    <w:rPr>
      <w:lang w:val="en-GB"/>
    </w:rPr>
  </w:style>
  <w:style w:type="character" w:customStyle="1" w:styleId="NormalNonumberChar">
    <w:name w:val="Normal_No_number Char"/>
    <w:link w:val="NormalNonumber"/>
    <w:locked/>
    <w:rsid w:val="00D44271"/>
    <w:rPr>
      <w:rFonts w:ascii="Times New Roman" w:eastAsia="Times New Roman" w:hAnsi="Times New Roman" w:cs="Times New Roman"/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 Gong</dc:creator>
  <cp:keywords/>
  <dc:description/>
  <cp:lastModifiedBy>Le Gong</cp:lastModifiedBy>
  <cp:revision>2</cp:revision>
  <dcterms:created xsi:type="dcterms:W3CDTF">2019-11-27T21:15:00Z</dcterms:created>
  <dcterms:modified xsi:type="dcterms:W3CDTF">2019-11-27T21:15:00Z</dcterms:modified>
</cp:coreProperties>
</file>