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32F7" w:rsidRPr="00D259EE" w:rsidRDefault="00C432F7" w:rsidP="00C432F7">
      <w:pPr>
        <w:spacing w:before="360" w:after="120" w:line="400" w:lineRule="exact"/>
        <w:ind w:left="1134"/>
        <w:jc w:val="both"/>
        <w:textDirection w:val="tbRlV"/>
        <w:rPr>
          <w:rFonts w:cs="Traditional Arabic"/>
          <w:b/>
          <w:bCs/>
          <w:sz w:val="32"/>
          <w:szCs w:val="32"/>
          <w:rtl/>
        </w:rPr>
      </w:pPr>
      <w:r w:rsidRPr="00D259EE">
        <w:rPr>
          <w:rFonts w:cs="Traditional Arabic" w:hint="cs"/>
          <w:b/>
          <w:bCs/>
          <w:sz w:val="32"/>
          <w:szCs w:val="32"/>
          <w:rtl/>
        </w:rPr>
        <w:t>المقرر ا ر-9/5: النظر في إدراج الأسيتوكلور في المرفق الثالث لاتفاقية روتردام</w:t>
      </w:r>
      <w:bookmarkStart w:id="0" w:name="_GoBack"/>
      <w:bookmarkEnd w:id="0"/>
    </w:p>
    <w:p w:rsidR="00C432F7" w:rsidRPr="00594E86" w:rsidRDefault="00C432F7" w:rsidP="00C432F7">
      <w:pPr>
        <w:tabs>
          <w:tab w:val="left" w:pos="2409"/>
        </w:tabs>
        <w:spacing w:after="120" w:line="400" w:lineRule="exact"/>
        <w:ind w:left="1134" w:firstLine="708"/>
        <w:jc w:val="both"/>
        <w:rPr>
          <w:rFonts w:cs="Traditional Arabic"/>
          <w:sz w:val="30"/>
          <w:szCs w:val="30"/>
          <w:rtl/>
        </w:rPr>
      </w:pPr>
      <w:r w:rsidRPr="00594E86">
        <w:rPr>
          <w:rFonts w:cs="Traditional Arabic" w:hint="cs"/>
          <w:i/>
          <w:iCs/>
          <w:sz w:val="30"/>
          <w:szCs w:val="30"/>
          <w:rtl/>
        </w:rPr>
        <w:t>إن مؤتمر الأطراف،</w:t>
      </w:r>
    </w:p>
    <w:p w:rsidR="00C432F7" w:rsidRPr="004862F7" w:rsidRDefault="00C432F7" w:rsidP="00C432F7">
      <w:pPr>
        <w:tabs>
          <w:tab w:val="left" w:pos="2409"/>
        </w:tabs>
        <w:spacing w:after="120" w:line="400" w:lineRule="exact"/>
        <w:ind w:left="1133" w:firstLine="709"/>
        <w:jc w:val="both"/>
        <w:textDirection w:val="tbRlV"/>
        <w:rPr>
          <w:rFonts w:ascii="Traditional Arabic" w:eastAsia="Calibri" w:hAnsi="Traditional Arabic" w:cs="Traditional Arabic"/>
          <w:i/>
          <w:sz w:val="30"/>
          <w:szCs w:val="30"/>
          <w:rtl/>
          <w:lang w:eastAsia="zh-TW"/>
        </w:rPr>
      </w:pPr>
      <w:r w:rsidRPr="00D259EE">
        <w:rPr>
          <w:rFonts w:ascii="Traditional Arabic" w:eastAsia="Calibri" w:hAnsi="Traditional Arabic" w:cs="Traditional Arabic"/>
          <w:iCs/>
          <w:sz w:val="30"/>
          <w:szCs w:val="30"/>
          <w:rtl/>
          <w:lang w:eastAsia="zh-TW"/>
        </w:rPr>
        <w:t>إذ يلاحظ مع التقدير</w:t>
      </w:r>
      <w:r w:rsidRPr="004862F7">
        <w:rPr>
          <w:rFonts w:ascii="Traditional Arabic" w:eastAsia="Calibri" w:hAnsi="Traditional Arabic" w:cs="Traditional Arabic"/>
          <w:i/>
          <w:sz w:val="30"/>
          <w:szCs w:val="30"/>
          <w:rtl/>
          <w:lang w:eastAsia="zh-TW"/>
        </w:rPr>
        <w:t xml:space="preserve"> عمل لجنة استعراض المواد الكيميائية عند نظرها في مادة الأسيتوكلور، وبخاصة النوعية التقنية لمشروع وثيقة توجيه القرارات المتعلقة بتلك المادة وشموليته،</w:t>
      </w:r>
      <w:r w:rsidRPr="00A966A2">
        <w:rPr>
          <w:rFonts w:ascii="Traditional Arabic" w:eastAsia="Calibri" w:hAnsi="Traditional Arabic" w:cs="Traditional Arabic" w:hint="cs"/>
          <w:i/>
          <w:sz w:val="30"/>
          <w:szCs w:val="30"/>
          <w:vertAlign w:val="superscript"/>
          <w:rtl/>
          <w:lang w:eastAsia="zh-TW"/>
        </w:rPr>
        <w:t>(</w:t>
      </w:r>
      <w:r w:rsidRPr="00A966A2">
        <w:rPr>
          <w:rFonts w:ascii="Traditional Arabic" w:eastAsia="Calibri" w:hAnsi="Traditional Arabic" w:cs="Traditional Arabic"/>
          <w:i/>
          <w:sz w:val="30"/>
          <w:szCs w:val="30"/>
          <w:vertAlign w:val="superscript"/>
          <w:rtl/>
          <w:lang w:eastAsia="zh-TW"/>
        </w:rPr>
        <w:footnoteReference w:id="1"/>
      </w:r>
      <w:r w:rsidRPr="00A966A2">
        <w:rPr>
          <w:rFonts w:ascii="Traditional Arabic" w:eastAsia="Calibri" w:hAnsi="Traditional Arabic" w:cs="Traditional Arabic" w:hint="cs"/>
          <w:i/>
          <w:sz w:val="30"/>
          <w:szCs w:val="30"/>
          <w:vertAlign w:val="superscript"/>
          <w:rtl/>
          <w:lang w:eastAsia="zh-TW"/>
        </w:rPr>
        <w:t>)</w:t>
      </w:r>
    </w:p>
    <w:p w:rsidR="00C432F7" w:rsidRPr="004862F7" w:rsidRDefault="00C432F7" w:rsidP="00C432F7">
      <w:pPr>
        <w:tabs>
          <w:tab w:val="left" w:pos="2409"/>
        </w:tabs>
        <w:spacing w:after="120" w:line="400" w:lineRule="exact"/>
        <w:ind w:left="1133" w:firstLine="709"/>
        <w:jc w:val="both"/>
        <w:textDirection w:val="tbRlV"/>
        <w:rPr>
          <w:rFonts w:ascii="Traditional Arabic" w:eastAsia="Calibri" w:hAnsi="Traditional Arabic" w:cs="Traditional Arabic"/>
          <w:i/>
          <w:sz w:val="30"/>
          <w:szCs w:val="30"/>
          <w:rtl/>
          <w:lang w:eastAsia="zh-TW"/>
        </w:rPr>
      </w:pPr>
      <w:r w:rsidRPr="00D259EE">
        <w:rPr>
          <w:rFonts w:ascii="Traditional Arabic" w:eastAsia="Calibri" w:hAnsi="Traditional Arabic" w:cs="Traditional Arabic"/>
          <w:iCs/>
          <w:sz w:val="30"/>
          <w:szCs w:val="30"/>
          <w:rtl/>
          <w:lang w:eastAsia="zh-TW"/>
        </w:rPr>
        <w:t>وقد نظر</w:t>
      </w:r>
      <w:r w:rsidRPr="004862F7">
        <w:rPr>
          <w:rFonts w:ascii="Traditional Arabic" w:eastAsia="Calibri" w:hAnsi="Traditional Arabic" w:cs="Traditional Arabic"/>
          <w:i/>
          <w:sz w:val="30"/>
          <w:szCs w:val="30"/>
          <w:rtl/>
          <w:lang w:eastAsia="zh-TW"/>
        </w:rPr>
        <w:t xml:space="preserve"> في توصية لجنة استعراض المواد الكيميائية بإخضاع الأسيتوكلور لإجراء الموافقة المسبقة عن علم وإدراجه، وفقاً لذلك، كمبيد آفات في المرفق الثالث لاتفاقية روتردام المتعلقة بتطبيق إجراء الموافقة المسبقة عن علم على مواد كيميائية ومبيدات آفات معينة خطرة متداولة في التجارة الدولية،</w:t>
      </w:r>
    </w:p>
    <w:p w:rsidR="00C432F7" w:rsidRPr="004862F7" w:rsidRDefault="00C432F7" w:rsidP="00C432F7">
      <w:pPr>
        <w:tabs>
          <w:tab w:val="left" w:pos="2409"/>
        </w:tabs>
        <w:spacing w:after="120" w:line="400" w:lineRule="exact"/>
        <w:ind w:left="1133" w:firstLine="709"/>
        <w:jc w:val="both"/>
        <w:textDirection w:val="tbRlV"/>
        <w:rPr>
          <w:rFonts w:ascii="Traditional Arabic" w:eastAsia="Calibri" w:hAnsi="Traditional Arabic" w:cs="Traditional Arabic"/>
          <w:i/>
          <w:sz w:val="30"/>
          <w:szCs w:val="30"/>
          <w:rtl/>
          <w:lang w:eastAsia="zh-TW"/>
        </w:rPr>
      </w:pPr>
      <w:r w:rsidRPr="00D259EE">
        <w:rPr>
          <w:rFonts w:ascii="Traditional Arabic" w:eastAsia="Calibri" w:hAnsi="Traditional Arabic" w:cs="Traditional Arabic"/>
          <w:iCs/>
          <w:sz w:val="30"/>
          <w:szCs w:val="30"/>
          <w:rtl/>
          <w:lang w:eastAsia="zh-TW"/>
        </w:rPr>
        <w:t>وإذ يضع في اعتباره</w:t>
      </w:r>
      <w:r w:rsidRPr="004862F7">
        <w:rPr>
          <w:rFonts w:ascii="Traditional Arabic" w:eastAsia="Calibri" w:hAnsi="Traditional Arabic" w:cs="Traditional Arabic"/>
          <w:i/>
          <w:sz w:val="30"/>
          <w:szCs w:val="30"/>
          <w:rtl/>
          <w:lang w:eastAsia="zh-TW"/>
        </w:rPr>
        <w:t xml:space="preserve"> أن مؤتمر الأطراف لم يتمكن حتى الآن من التوصل إلى توافق في الآراء بشأن إدراج الأسيتوكلور في ذلك المرفق،</w:t>
      </w:r>
    </w:p>
    <w:p w:rsidR="00C432F7" w:rsidRPr="004862F7" w:rsidRDefault="00C432F7" w:rsidP="00C432F7">
      <w:pPr>
        <w:tabs>
          <w:tab w:val="left" w:pos="2409"/>
        </w:tabs>
        <w:spacing w:after="120" w:line="400" w:lineRule="exact"/>
        <w:ind w:left="1133" w:firstLine="709"/>
        <w:jc w:val="both"/>
        <w:textDirection w:val="tbRlV"/>
        <w:rPr>
          <w:rFonts w:ascii="Traditional Arabic" w:eastAsia="Calibri" w:hAnsi="Traditional Arabic" w:cs="Traditional Arabic"/>
          <w:i/>
          <w:sz w:val="30"/>
          <w:szCs w:val="30"/>
          <w:rtl/>
          <w:lang w:eastAsia="zh-TW"/>
        </w:rPr>
      </w:pPr>
      <w:r w:rsidRPr="00D259EE">
        <w:rPr>
          <w:rFonts w:ascii="Traditional Arabic" w:eastAsia="Calibri" w:hAnsi="Traditional Arabic" w:cs="Traditional Arabic"/>
          <w:iCs/>
          <w:sz w:val="30"/>
          <w:szCs w:val="30"/>
          <w:rtl/>
          <w:lang w:eastAsia="zh-TW"/>
        </w:rPr>
        <w:t>وإذ يدرك</w:t>
      </w:r>
      <w:r w:rsidRPr="004862F7">
        <w:rPr>
          <w:rFonts w:ascii="Traditional Arabic" w:eastAsia="Calibri" w:hAnsi="Traditional Arabic" w:cs="Traditional Arabic"/>
          <w:i/>
          <w:sz w:val="30"/>
          <w:szCs w:val="30"/>
          <w:rtl/>
          <w:lang w:eastAsia="zh-TW"/>
        </w:rPr>
        <w:t xml:space="preserve"> أن عدم التمكن من التوصل إلى توافق في الآراء حتى الآن أدى إلى إثارة شواغل لدى الكثير من الأطراف،</w:t>
      </w:r>
    </w:p>
    <w:p w:rsidR="00C432F7" w:rsidRDefault="00C432F7" w:rsidP="00C432F7">
      <w:pPr>
        <w:tabs>
          <w:tab w:val="left" w:pos="2409"/>
        </w:tabs>
        <w:spacing w:after="180" w:line="400" w:lineRule="exact"/>
        <w:ind w:left="1134" w:firstLine="709"/>
        <w:jc w:val="both"/>
        <w:textDirection w:val="tbRlV"/>
        <w:rPr>
          <w:rFonts w:ascii="Traditional Arabic" w:eastAsia="Calibri" w:hAnsi="Traditional Arabic" w:cs="Traditional Arabic"/>
          <w:i/>
          <w:sz w:val="30"/>
          <w:szCs w:val="30"/>
          <w:rtl/>
          <w:lang w:eastAsia="zh-TW"/>
        </w:rPr>
      </w:pPr>
      <w:r w:rsidRPr="004862F7">
        <w:rPr>
          <w:rFonts w:ascii="Traditional Arabic" w:eastAsia="Calibri" w:hAnsi="Traditional Arabic" w:cs="Traditional Arabic"/>
          <w:i/>
          <w:sz w:val="30"/>
          <w:szCs w:val="30"/>
          <w:rtl/>
          <w:lang w:eastAsia="zh-TW"/>
        </w:rPr>
        <w:t>١-</w:t>
      </w:r>
      <w:r w:rsidRPr="004862F7">
        <w:rPr>
          <w:rFonts w:ascii="Traditional Arabic" w:eastAsia="Calibri" w:hAnsi="Traditional Arabic" w:cs="Traditional Arabic"/>
          <w:i/>
          <w:sz w:val="30"/>
          <w:szCs w:val="30"/>
          <w:rtl/>
          <w:lang w:eastAsia="zh-TW"/>
        </w:rPr>
        <w:tab/>
      </w:r>
      <w:r w:rsidRPr="00D259EE">
        <w:rPr>
          <w:rFonts w:ascii="Traditional Arabic" w:eastAsia="Calibri" w:hAnsi="Traditional Arabic" w:cs="Traditional Arabic"/>
          <w:iCs/>
          <w:sz w:val="30"/>
          <w:szCs w:val="30"/>
          <w:rtl/>
          <w:lang w:eastAsia="zh-TW"/>
        </w:rPr>
        <w:t>يقرر</w:t>
      </w:r>
      <w:r w:rsidRPr="004862F7">
        <w:rPr>
          <w:rFonts w:ascii="Traditional Arabic" w:eastAsia="Calibri" w:hAnsi="Traditional Arabic" w:cs="Traditional Arabic"/>
          <w:i/>
          <w:sz w:val="30"/>
          <w:szCs w:val="30"/>
          <w:rtl/>
          <w:lang w:eastAsia="zh-TW"/>
        </w:rPr>
        <w:t xml:space="preserve"> أن يشمل جدول أعمال الاجتماع العاشر لمؤتمر الأطراف مواصلة النظر في مشروع مقرر لتعديل المرفق الثالث لاتفاقية روتردام بحيث يتضمن المادة الكيميائية التالية:</w:t>
      </w:r>
    </w:p>
    <w:tbl>
      <w:tblPr>
        <w:bidiVisual/>
        <w:tblW w:w="8200" w:type="dxa"/>
        <w:tblInd w:w="1196" w:type="dxa"/>
        <w:tblBorders>
          <w:top w:val="single" w:sz="4" w:space="0" w:color="auto"/>
          <w:bottom w:val="single" w:sz="12" w:space="0" w:color="auto"/>
          <w:insideH w:val="single" w:sz="12" w:space="0" w:color="auto"/>
        </w:tblBorders>
        <w:tblLayout w:type="fixed"/>
        <w:tblLook w:val="0000" w:firstRow="0" w:lastRow="0" w:firstColumn="0" w:lastColumn="0" w:noHBand="0" w:noVBand="0"/>
      </w:tblPr>
      <w:tblGrid>
        <w:gridCol w:w="2777"/>
        <w:gridCol w:w="2607"/>
        <w:gridCol w:w="2816"/>
      </w:tblGrid>
      <w:tr w:rsidR="00C432F7" w:rsidRPr="004C23C8" w:rsidTr="00D574D5">
        <w:tc>
          <w:tcPr>
            <w:tcW w:w="2777" w:type="dxa"/>
            <w:shd w:val="clear" w:color="auto" w:fill="auto"/>
            <w:vAlign w:val="bottom"/>
          </w:tcPr>
          <w:p w:rsidR="00C432F7" w:rsidRPr="00D259EE" w:rsidRDefault="00C432F7" w:rsidP="00D574D5">
            <w:pPr>
              <w:keepNext/>
              <w:spacing w:before="40" w:after="40" w:line="340" w:lineRule="exact"/>
              <w:outlineLvl w:val="3"/>
              <w:rPr>
                <w:rFonts w:ascii="Traditional Arabic" w:hAnsi="Traditional Arabic" w:cs="Traditional Arabic"/>
                <w:bCs/>
                <w:sz w:val="28"/>
              </w:rPr>
            </w:pPr>
            <w:r w:rsidRPr="00D259EE">
              <w:rPr>
                <w:rFonts w:ascii="Traditional Arabic" w:hAnsi="Traditional Arabic" w:cs="Traditional Arabic"/>
                <w:bCs/>
                <w:sz w:val="28"/>
                <w:rtl/>
              </w:rPr>
              <w:t>المادة الكيميائية</w:t>
            </w:r>
          </w:p>
        </w:tc>
        <w:tc>
          <w:tcPr>
            <w:tcW w:w="2607" w:type="dxa"/>
            <w:shd w:val="clear" w:color="auto" w:fill="auto"/>
            <w:vAlign w:val="bottom"/>
          </w:tcPr>
          <w:p w:rsidR="00C432F7" w:rsidRPr="00D259EE" w:rsidRDefault="00C432F7" w:rsidP="00D574D5">
            <w:pPr>
              <w:keepNext/>
              <w:spacing w:before="40" w:after="40" w:line="340" w:lineRule="exact"/>
              <w:outlineLvl w:val="3"/>
              <w:rPr>
                <w:rFonts w:ascii="Traditional Arabic" w:hAnsi="Traditional Arabic" w:cs="Traditional Arabic"/>
                <w:bCs/>
                <w:sz w:val="28"/>
              </w:rPr>
            </w:pPr>
            <w:r w:rsidRPr="00D259EE">
              <w:rPr>
                <w:rFonts w:ascii="Traditional Arabic" w:hAnsi="Traditional Arabic" w:cs="Traditional Arabic"/>
                <w:bCs/>
                <w:sz w:val="28"/>
                <w:rtl/>
              </w:rPr>
              <w:t>الرقم/الأرقام ذات الصلة في سجل دائرة المستخلصات الكيميائية</w:t>
            </w:r>
          </w:p>
        </w:tc>
        <w:tc>
          <w:tcPr>
            <w:tcW w:w="2816" w:type="dxa"/>
            <w:shd w:val="clear" w:color="auto" w:fill="auto"/>
            <w:vAlign w:val="bottom"/>
          </w:tcPr>
          <w:p w:rsidR="00C432F7" w:rsidRPr="00D259EE" w:rsidRDefault="00C432F7" w:rsidP="00D574D5">
            <w:pPr>
              <w:spacing w:before="40" w:after="40" w:line="340" w:lineRule="exact"/>
              <w:rPr>
                <w:rFonts w:ascii="Traditional Arabic" w:hAnsi="Traditional Arabic" w:cs="Traditional Arabic"/>
                <w:bCs/>
                <w:sz w:val="28"/>
              </w:rPr>
            </w:pPr>
            <w:r w:rsidRPr="00D259EE">
              <w:rPr>
                <w:rFonts w:ascii="Traditional Arabic" w:hAnsi="Traditional Arabic" w:cs="Traditional Arabic" w:hint="cs"/>
                <w:bCs/>
                <w:sz w:val="28"/>
                <w:rtl/>
              </w:rPr>
              <w:t>الفئة</w:t>
            </w:r>
          </w:p>
        </w:tc>
      </w:tr>
      <w:tr w:rsidR="00C432F7" w:rsidRPr="004C23C8" w:rsidTr="00D574D5">
        <w:tc>
          <w:tcPr>
            <w:tcW w:w="2777" w:type="dxa"/>
            <w:shd w:val="clear" w:color="auto" w:fill="auto"/>
            <w:vAlign w:val="bottom"/>
          </w:tcPr>
          <w:p w:rsidR="00C432F7" w:rsidRPr="00D259EE" w:rsidRDefault="00C432F7" w:rsidP="00D574D5">
            <w:pPr>
              <w:spacing w:before="40" w:after="40" w:line="340" w:lineRule="exact"/>
              <w:rPr>
                <w:rFonts w:ascii="Traditional Arabic" w:hAnsi="Traditional Arabic" w:cs="Traditional Arabic"/>
                <w:sz w:val="28"/>
              </w:rPr>
            </w:pPr>
            <w:r w:rsidRPr="00D259EE">
              <w:rPr>
                <w:rFonts w:ascii="Traditional Arabic" w:eastAsia="Calibri" w:hAnsi="Traditional Arabic" w:cs="Traditional Arabic"/>
                <w:i/>
                <w:sz w:val="28"/>
                <w:rtl/>
                <w:lang w:eastAsia="zh-TW"/>
              </w:rPr>
              <w:t>الأسيتوكلور</w:t>
            </w:r>
          </w:p>
        </w:tc>
        <w:tc>
          <w:tcPr>
            <w:tcW w:w="2607" w:type="dxa"/>
            <w:shd w:val="clear" w:color="auto" w:fill="auto"/>
            <w:vAlign w:val="bottom"/>
          </w:tcPr>
          <w:p w:rsidR="00C432F7" w:rsidRPr="00D259EE" w:rsidRDefault="00C432F7" w:rsidP="00D574D5">
            <w:pPr>
              <w:spacing w:before="40" w:after="40" w:line="340" w:lineRule="exact"/>
              <w:rPr>
                <w:rFonts w:ascii="Traditional Arabic" w:hAnsi="Traditional Arabic" w:cs="Traditional Arabic"/>
                <w:sz w:val="28"/>
              </w:rPr>
            </w:pPr>
            <w:r w:rsidRPr="00D259EE">
              <w:rPr>
                <w:rFonts w:ascii="Traditional Arabic" w:eastAsia="Calibri" w:hAnsi="Traditional Arabic" w:cs="Traditional Arabic" w:hint="cs"/>
                <w:i/>
                <w:sz w:val="28"/>
                <w:rtl/>
                <w:lang w:eastAsia="zh-TW"/>
              </w:rPr>
              <w:t>1</w:t>
            </w:r>
            <w:r w:rsidRPr="00D259EE">
              <w:rPr>
                <w:rFonts w:ascii="Traditional Arabic" w:eastAsia="Calibri" w:hAnsi="Traditional Arabic" w:cs="Traditional Arabic"/>
                <w:i/>
                <w:sz w:val="28"/>
                <w:rtl/>
                <w:lang w:eastAsia="zh-TW"/>
              </w:rPr>
              <w:t>-82</w:t>
            </w:r>
            <w:r w:rsidRPr="00D259EE">
              <w:rPr>
                <w:rFonts w:ascii="Traditional Arabic" w:eastAsia="Calibri" w:hAnsi="Traditional Arabic" w:cs="Traditional Arabic" w:hint="cs"/>
                <w:i/>
                <w:sz w:val="28"/>
                <w:rtl/>
                <w:lang w:eastAsia="zh-TW"/>
              </w:rPr>
              <w:t>-</w:t>
            </w:r>
            <w:r w:rsidRPr="00D259EE">
              <w:rPr>
                <w:rFonts w:ascii="Traditional Arabic" w:eastAsia="Calibri" w:hAnsi="Traditional Arabic" w:cs="Traditional Arabic"/>
                <w:i/>
                <w:sz w:val="28"/>
                <w:rtl/>
                <w:lang w:eastAsia="zh-TW"/>
              </w:rPr>
              <w:t>34256</w:t>
            </w:r>
          </w:p>
        </w:tc>
        <w:tc>
          <w:tcPr>
            <w:tcW w:w="2816" w:type="dxa"/>
            <w:shd w:val="clear" w:color="auto" w:fill="auto"/>
            <w:vAlign w:val="bottom"/>
          </w:tcPr>
          <w:p w:rsidR="00C432F7" w:rsidRPr="00D259EE" w:rsidRDefault="00C432F7" w:rsidP="00D574D5">
            <w:pPr>
              <w:spacing w:before="40" w:after="40" w:line="340" w:lineRule="exact"/>
              <w:rPr>
                <w:rFonts w:ascii="Traditional Arabic" w:hAnsi="Traditional Arabic" w:cs="Traditional Arabic"/>
                <w:sz w:val="28"/>
              </w:rPr>
            </w:pPr>
            <w:r w:rsidRPr="00D259EE">
              <w:rPr>
                <w:rFonts w:ascii="Traditional Arabic" w:eastAsia="Calibri" w:hAnsi="Traditional Arabic" w:cs="Traditional Arabic"/>
                <w:i/>
                <w:sz w:val="28"/>
                <w:rtl/>
                <w:lang w:eastAsia="zh-TW"/>
              </w:rPr>
              <w:t>مبيد آفات</w:t>
            </w:r>
          </w:p>
        </w:tc>
      </w:tr>
    </w:tbl>
    <w:p w:rsidR="00C432F7" w:rsidRPr="004862F7" w:rsidRDefault="00C432F7" w:rsidP="00C432F7">
      <w:pPr>
        <w:tabs>
          <w:tab w:val="left" w:pos="2409"/>
          <w:tab w:val="left" w:pos="2976"/>
        </w:tabs>
        <w:spacing w:before="180" w:after="120" w:line="400" w:lineRule="exact"/>
        <w:ind w:left="1134" w:firstLine="709"/>
        <w:jc w:val="both"/>
        <w:textDirection w:val="tbRlV"/>
        <w:rPr>
          <w:rFonts w:ascii="Traditional Arabic" w:eastAsia="Calibri" w:hAnsi="Traditional Arabic" w:cs="Traditional Arabic"/>
          <w:i/>
          <w:sz w:val="30"/>
          <w:szCs w:val="30"/>
          <w:rtl/>
          <w:lang w:eastAsia="zh-TW"/>
        </w:rPr>
      </w:pPr>
      <w:r w:rsidRPr="004862F7">
        <w:rPr>
          <w:rFonts w:ascii="Traditional Arabic" w:eastAsia="Calibri" w:hAnsi="Traditional Arabic" w:cs="Traditional Arabic"/>
          <w:i/>
          <w:sz w:val="30"/>
          <w:szCs w:val="30"/>
          <w:rtl/>
          <w:lang w:eastAsia="zh-TW"/>
        </w:rPr>
        <w:t>٢-</w:t>
      </w:r>
      <w:r w:rsidRPr="004862F7">
        <w:rPr>
          <w:rFonts w:ascii="Traditional Arabic" w:eastAsia="Calibri" w:hAnsi="Traditional Arabic" w:cs="Traditional Arabic"/>
          <w:i/>
          <w:sz w:val="30"/>
          <w:szCs w:val="30"/>
          <w:rtl/>
          <w:lang w:eastAsia="zh-TW"/>
        </w:rPr>
        <w:tab/>
      </w:r>
      <w:r w:rsidRPr="00D259EE">
        <w:rPr>
          <w:rFonts w:ascii="Traditional Arabic" w:eastAsia="Calibri" w:hAnsi="Traditional Arabic" w:cs="Traditional Arabic"/>
          <w:iCs/>
          <w:sz w:val="30"/>
          <w:szCs w:val="30"/>
          <w:rtl/>
          <w:lang w:eastAsia="zh-TW"/>
        </w:rPr>
        <w:t>يُقرر</w:t>
      </w:r>
      <w:r w:rsidRPr="004862F7">
        <w:rPr>
          <w:rFonts w:ascii="Traditional Arabic" w:eastAsia="Calibri" w:hAnsi="Traditional Arabic" w:cs="Traditional Arabic"/>
          <w:i/>
          <w:sz w:val="30"/>
          <w:szCs w:val="30"/>
          <w:rtl/>
          <w:lang w:eastAsia="zh-TW"/>
        </w:rPr>
        <w:t xml:space="preserve"> </w:t>
      </w:r>
      <w:r w:rsidRPr="00D6524D">
        <w:rPr>
          <w:rFonts w:ascii="Traditional Arabic" w:eastAsia="Calibri" w:hAnsi="Traditional Arabic" w:cs="Traditional Arabic" w:hint="cs"/>
          <w:iCs/>
          <w:sz w:val="30"/>
          <w:szCs w:val="30"/>
          <w:rtl/>
          <w:lang w:eastAsia="zh-TW"/>
        </w:rPr>
        <w:t>أيضاً</w:t>
      </w:r>
      <w:r>
        <w:rPr>
          <w:rFonts w:ascii="Traditional Arabic" w:eastAsia="Calibri" w:hAnsi="Traditional Arabic" w:cs="Traditional Arabic" w:hint="cs"/>
          <w:i/>
          <w:sz w:val="30"/>
          <w:szCs w:val="30"/>
          <w:rtl/>
          <w:lang w:eastAsia="zh-TW"/>
        </w:rPr>
        <w:t xml:space="preserve"> </w:t>
      </w:r>
      <w:r w:rsidRPr="004862F7">
        <w:rPr>
          <w:rFonts w:ascii="Traditional Arabic" w:eastAsia="Calibri" w:hAnsi="Traditional Arabic" w:cs="Traditional Arabic"/>
          <w:i/>
          <w:sz w:val="30"/>
          <w:szCs w:val="30"/>
          <w:rtl/>
          <w:lang w:eastAsia="zh-TW"/>
        </w:rPr>
        <w:t>أنه قد تم استيفاء الشروط الواردة في المادة 5 من اتفاقية روتردام، بما في ذلك المعايير الواردة في المرفق الثاني للاتفاقية، كما أشير إليها في الفقرة 6 من المادة 5 من الاتفاقية، والشروط الواردة في الفقرة 1 من المادة 7 من الاتفاقية، والشروط الواردة في الجملة الأولى من الفقرة 2 من المادة 7 من الاتفاقية بخصوص عملية الإدراج في المرفق الثالث للاتفاقية؛</w:t>
      </w:r>
    </w:p>
    <w:p w:rsidR="00C432F7" w:rsidRPr="004862F7" w:rsidRDefault="00C432F7" w:rsidP="00C432F7">
      <w:pPr>
        <w:tabs>
          <w:tab w:val="left" w:pos="2409"/>
          <w:tab w:val="left" w:pos="2976"/>
        </w:tabs>
        <w:spacing w:after="120" w:line="400" w:lineRule="exact"/>
        <w:ind w:left="1133" w:firstLine="709"/>
        <w:jc w:val="both"/>
        <w:textDirection w:val="tbRlV"/>
        <w:rPr>
          <w:rFonts w:ascii="Traditional Arabic" w:eastAsia="Calibri" w:hAnsi="Traditional Arabic" w:cs="Traditional Arabic"/>
          <w:i/>
          <w:sz w:val="30"/>
          <w:szCs w:val="30"/>
          <w:rtl/>
          <w:lang w:eastAsia="zh-TW"/>
        </w:rPr>
      </w:pPr>
      <w:r w:rsidRPr="004862F7">
        <w:rPr>
          <w:rFonts w:ascii="Traditional Arabic" w:eastAsia="Calibri" w:hAnsi="Traditional Arabic" w:cs="Traditional Arabic"/>
          <w:i/>
          <w:sz w:val="30"/>
          <w:szCs w:val="30"/>
          <w:rtl/>
          <w:lang w:eastAsia="zh-TW"/>
        </w:rPr>
        <w:t>٣-</w:t>
      </w:r>
      <w:r w:rsidRPr="004862F7">
        <w:rPr>
          <w:rFonts w:ascii="Traditional Arabic" w:eastAsia="Calibri" w:hAnsi="Traditional Arabic" w:cs="Traditional Arabic"/>
          <w:i/>
          <w:sz w:val="30"/>
          <w:szCs w:val="30"/>
          <w:rtl/>
          <w:lang w:eastAsia="zh-TW"/>
        </w:rPr>
        <w:tab/>
      </w:r>
      <w:r w:rsidRPr="00D259EE">
        <w:rPr>
          <w:rFonts w:ascii="Traditional Arabic" w:eastAsia="Calibri" w:hAnsi="Traditional Arabic" w:cs="Traditional Arabic"/>
          <w:iCs/>
          <w:sz w:val="30"/>
          <w:szCs w:val="30"/>
          <w:rtl/>
          <w:lang w:eastAsia="zh-TW"/>
        </w:rPr>
        <w:t>يشجع</w:t>
      </w:r>
      <w:r w:rsidRPr="004862F7">
        <w:rPr>
          <w:rFonts w:ascii="Traditional Arabic" w:eastAsia="Calibri" w:hAnsi="Traditional Arabic" w:cs="Traditional Arabic"/>
          <w:i/>
          <w:sz w:val="30"/>
          <w:szCs w:val="30"/>
          <w:rtl/>
          <w:lang w:eastAsia="zh-TW"/>
        </w:rPr>
        <w:t xml:space="preserve"> الأطراف على الاستفادة من جميع المعلومات المتاحة عن الأسيتوكلور لمساعدة البلدان الأخرى، ولا</w:t>
      </w:r>
      <w:r>
        <w:rPr>
          <w:rFonts w:ascii="Traditional Arabic" w:eastAsia="Calibri" w:hAnsi="Traditional Arabic" w:cs="Traditional Arabic" w:hint="cs"/>
          <w:i/>
          <w:sz w:val="30"/>
          <w:szCs w:val="30"/>
          <w:rtl/>
          <w:lang w:eastAsia="zh-TW"/>
        </w:rPr>
        <w:t> </w:t>
      </w:r>
      <w:r w:rsidRPr="004862F7">
        <w:rPr>
          <w:rFonts w:ascii="Traditional Arabic" w:eastAsia="Calibri" w:hAnsi="Traditional Arabic" w:cs="Traditional Arabic"/>
          <w:i/>
          <w:sz w:val="30"/>
          <w:szCs w:val="30"/>
          <w:rtl/>
          <w:lang w:eastAsia="zh-TW"/>
        </w:rPr>
        <w:t>سيما البلدان النامية والبلدان التي تمر اقتصاداتها بمرحلة انتقالية، على اتخاذ قرارات مستنيرة بشأن استيراد وإدارة الأسيتوكلور، وإخطار الأطراف الأخرى بتلك القرارات باستخدام الأحكام المتعلقة بتبادل المعلومات المنصوص عليها في المادة 14 من اتفاقية روتردام.</w:t>
      </w:r>
    </w:p>
    <w:p w:rsidR="00830BE3" w:rsidRPr="00C432F7" w:rsidRDefault="00830BE3" w:rsidP="00C432F7">
      <w:pPr>
        <w:rPr>
          <w:szCs w:val="20"/>
          <w:rtl/>
        </w:rPr>
      </w:pPr>
    </w:p>
    <w:sectPr w:rsidR="00830BE3" w:rsidRPr="00C432F7">
      <w:headerReference w:type="firs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04F1" w:rsidRDefault="006304F1" w:rsidP="00830BE3">
      <w:r>
        <w:separator/>
      </w:r>
    </w:p>
  </w:endnote>
  <w:endnote w:type="continuationSeparator" w:id="0">
    <w:p w:rsidR="006304F1" w:rsidRDefault="006304F1" w:rsidP="00830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altName w:val="Traditional Arabic"/>
    <w:charset w:val="B2"/>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w:altName w:val="Sylfaen"/>
    <w:panose1 w:val="02020603050405020304"/>
    <w:charset w:val="00"/>
    <w:family w:val="roman"/>
    <w:pitch w:val="variable"/>
    <w:sig w:usb0="E0002EFF" w:usb1="C000785B" w:usb2="00000009" w:usb3="00000000" w:csb0="000001FF" w:csb1="00000000"/>
  </w:font>
  <w:font w:name="Simplified Arabic">
    <w:charset w:val="B2"/>
    <w:family w:val="roman"/>
    <w:pitch w:val="variable"/>
    <w:sig w:usb0="00002003" w:usb1="80000000" w:usb2="00000008" w:usb3="00000000" w:csb0="0000004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04F1" w:rsidRDefault="006304F1" w:rsidP="00830BE3">
      <w:r>
        <w:separator/>
      </w:r>
    </w:p>
  </w:footnote>
  <w:footnote w:type="continuationSeparator" w:id="0">
    <w:p w:rsidR="006304F1" w:rsidRDefault="006304F1" w:rsidP="00830BE3">
      <w:r>
        <w:continuationSeparator/>
      </w:r>
    </w:p>
  </w:footnote>
  <w:footnote w:id="1">
    <w:p w:rsidR="00C432F7" w:rsidRPr="00D259EE" w:rsidRDefault="00C432F7" w:rsidP="00C432F7">
      <w:pPr>
        <w:tabs>
          <w:tab w:val="left" w:pos="624"/>
        </w:tabs>
        <w:spacing w:after="20" w:line="300" w:lineRule="exact"/>
        <w:ind w:left="1247"/>
        <w:textDirection w:val="tbRlV"/>
        <w:rPr>
          <w:rFonts w:ascii="Traditional Arabic" w:hAnsi="Traditional Arabic" w:cs="Traditional Arabic"/>
          <w:sz w:val="26"/>
          <w:szCs w:val="26"/>
          <w:rtl/>
          <w:lang w:val="ar-SA" w:eastAsia="zh-TW"/>
        </w:rPr>
      </w:pPr>
      <w:r w:rsidRPr="00D259EE">
        <w:rPr>
          <w:rFonts w:cs="Traditional Arabic"/>
          <w:sz w:val="26"/>
          <w:szCs w:val="26"/>
          <w:rtl/>
        </w:rPr>
        <w:t>(</w:t>
      </w:r>
      <w:r w:rsidRPr="00D259EE">
        <w:rPr>
          <w:rStyle w:val="FootnoteReference"/>
          <w:rFonts w:cs="Traditional Arabic"/>
          <w:sz w:val="26"/>
          <w:szCs w:val="26"/>
          <w:rtl/>
        </w:rPr>
        <w:footnoteRef/>
      </w:r>
      <w:r w:rsidRPr="00D259EE">
        <w:rPr>
          <w:rFonts w:cs="Traditional Arabic"/>
          <w:sz w:val="26"/>
          <w:szCs w:val="26"/>
          <w:rtl/>
        </w:rPr>
        <w:t>)</w:t>
      </w:r>
      <w:r>
        <w:rPr>
          <w:rFonts w:cs="Traditional Arabic" w:hint="cs"/>
          <w:sz w:val="26"/>
          <w:szCs w:val="26"/>
          <w:rtl/>
        </w:rPr>
        <w:t xml:space="preserve">  </w:t>
      </w:r>
      <w:r w:rsidRPr="00D259EE">
        <w:rPr>
          <w:sz w:val="18"/>
          <w:szCs w:val="18"/>
        </w:rPr>
        <w:t>UNEP/FAO/RC/COP.9/6/Add.1</w:t>
      </w:r>
      <w:r>
        <w:rPr>
          <w:rFonts w:ascii="Traditional Arabic" w:hAnsi="Traditional Arabic" w:cs="Traditional Arabic" w:hint="cs"/>
          <w:sz w:val="26"/>
          <w:szCs w:val="26"/>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0BE3" w:rsidRDefault="00830BE3" w:rsidP="00816550">
    <w:pPr>
      <w:pStyle w:val="Header"/>
      <w:spacing w:before="20" w:after="40"/>
      <w:rPr>
        <w:sz w:val="17"/>
        <w:szCs w:val="17"/>
      </w:rPr>
    </w:pPr>
    <w:r>
      <w:rPr>
        <w:sz w:val="17"/>
        <w:szCs w:val="17"/>
      </w:rPr>
      <w:t>UNEP/POPS/COP.9/30</w:t>
    </w:r>
  </w:p>
  <w:p w:rsidR="00830BE3" w:rsidRDefault="00830BE3" w:rsidP="00816550">
    <w:pPr>
      <w:pStyle w:val="Header"/>
      <w:spacing w:line="2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C8561A"/>
    <w:multiLevelType w:val="singleLevel"/>
    <w:tmpl w:val="779E85D6"/>
    <w:lvl w:ilvl="0">
      <w:numFmt w:val="ganada"/>
      <w:pStyle w:val="Heading4"/>
      <w:lvlText w:val="%1"/>
      <w:lvlJc w:val="left"/>
      <w:pPr>
        <w:tabs>
          <w:tab w:val="num" w:pos="360"/>
        </w:tabs>
        <w:ind w:right="360" w:hanging="360"/>
      </w:pPr>
      <w:rPr>
        <w:rFonts w:hint="default"/>
      </w:rPr>
    </w:lvl>
  </w:abstractNum>
  <w:abstractNum w:abstractNumId="1" w15:restartNumberingAfterBreak="0">
    <w:nsid w:val="52A66A9D"/>
    <w:multiLevelType w:val="multilevel"/>
    <w:tmpl w:val="6EDC70F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1"/>
  </w:num>
  <w:num w:numId="2">
    <w:abstractNumId w:val="0"/>
  </w:num>
  <w:num w:numId="3">
    <w:abstractNumId w:val="1"/>
    <w:lvlOverride w:ilvl="0">
      <w:startOverride w:val="1"/>
      <w:lvl w:ilvl="0">
        <w:start w:val="1"/>
        <w:numFmt w:val="decimal"/>
        <w:pStyle w:val="Normalnumber"/>
        <w:lvlText w:val="%1-"/>
        <w:lvlJc w:val="left"/>
        <w:pPr>
          <w:tabs>
            <w:tab w:val="num" w:pos="567"/>
          </w:tabs>
          <w:ind w:left="1247" w:firstLine="0"/>
        </w:pPr>
        <w:rPr>
          <w:rFonts w:ascii="Times New Roman" w:eastAsia="Times New Roman" w:hAnsi="Times New Roman" w:cs="Traditional Arabic"/>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0D0"/>
    <w:rsid w:val="006304F1"/>
    <w:rsid w:val="00830BE3"/>
    <w:rsid w:val="00915FF5"/>
    <w:rsid w:val="00AA70D0"/>
    <w:rsid w:val="00C432F7"/>
    <w:rsid w:val="00F935A6"/>
    <w:rsid w:val="00FA6F08"/>
    <w:rsid w:val="00FE26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9E1B1"/>
  <w15:chartTrackingRefBased/>
  <w15:docId w15:val="{48E37FE4-6FF8-4660-89FF-FDDF1964C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70D0"/>
    <w:pPr>
      <w:bidi/>
      <w:spacing w:after="0" w:line="240" w:lineRule="auto"/>
    </w:pPr>
    <w:rPr>
      <w:rFonts w:ascii="Times" w:eastAsia="Times New Roman" w:hAnsi="Times" w:cs="Simplified Arabic"/>
      <w:noProof/>
      <w:sz w:val="20"/>
      <w:szCs w:val="28"/>
      <w:lang w:eastAsia="en-US"/>
    </w:rPr>
  </w:style>
  <w:style w:type="paragraph" w:styleId="Heading4">
    <w:name w:val="heading 4"/>
    <w:aliases w:val="MainPara"/>
    <w:basedOn w:val="Normal"/>
    <w:next w:val="Normal"/>
    <w:link w:val="Heading4Char"/>
    <w:qFormat/>
    <w:rsid w:val="00830BE3"/>
    <w:pPr>
      <w:keepNext/>
      <w:numPr>
        <w:numId w:val="2"/>
      </w:numPr>
      <w:tabs>
        <w:tab w:val="clear" w:pos="360"/>
        <w:tab w:val="num" w:pos="720"/>
      </w:tabs>
      <w:bidi w:val="0"/>
      <w:ind w:left="720" w:right="0" w:hanging="720"/>
      <w:outlineLvl w:val="3"/>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numberChar">
    <w:name w:val="Normal_number Char"/>
    <w:link w:val="Normalnumber"/>
    <w:rsid w:val="00AA70D0"/>
    <w:rPr>
      <w:lang w:val="en-GB"/>
    </w:rPr>
  </w:style>
  <w:style w:type="numbering" w:customStyle="1" w:styleId="Normallist">
    <w:name w:val="Normal_list"/>
    <w:basedOn w:val="NoList"/>
    <w:rsid w:val="00AA70D0"/>
    <w:pPr>
      <w:numPr>
        <w:numId w:val="1"/>
      </w:numPr>
    </w:pPr>
  </w:style>
  <w:style w:type="paragraph" w:customStyle="1" w:styleId="Normalnumber">
    <w:name w:val="Normal_number"/>
    <w:basedOn w:val="Normal"/>
    <w:link w:val="NormalnumberChar"/>
    <w:qFormat/>
    <w:rsid w:val="00AA70D0"/>
    <w:pPr>
      <w:numPr>
        <w:numId w:val="1"/>
      </w:numPr>
      <w:tabs>
        <w:tab w:val="left" w:pos="624"/>
      </w:tabs>
      <w:bidi w:val="0"/>
      <w:spacing w:after="120"/>
    </w:pPr>
    <w:rPr>
      <w:rFonts w:asciiTheme="minorHAnsi" w:eastAsiaTheme="minorEastAsia" w:hAnsiTheme="minorHAnsi" w:cstheme="minorBidi"/>
      <w:noProof w:val="0"/>
      <w:sz w:val="22"/>
      <w:szCs w:val="22"/>
      <w:lang w:val="en-GB" w:eastAsia="zh-CN"/>
    </w:rPr>
  </w:style>
  <w:style w:type="character" w:customStyle="1" w:styleId="Heading4Char">
    <w:name w:val="Heading 4 Char"/>
    <w:basedOn w:val="DefaultParagraphFont"/>
    <w:link w:val="Heading4"/>
    <w:rsid w:val="00830BE3"/>
    <w:rPr>
      <w:rFonts w:ascii="Times New Roman" w:eastAsia="Times New Roman" w:hAnsi="Times New Roman" w:cs="Simplified Arabic"/>
      <w:noProof/>
      <w:sz w:val="24"/>
      <w:szCs w:val="28"/>
      <w:lang w:eastAsia="en-US"/>
    </w:rPr>
  </w:style>
  <w:style w:type="paragraph" w:styleId="Header">
    <w:name w:val="header"/>
    <w:aliases w:val="Header Char2,Header Char1 Char1,Header Char Char Char1,Header Char1 Char Char Char1,Header Char Char Char Char Char1,Header Char Char1 Char1,Header Char Char2,Header Char1 Char Char1,Header Char Char Char Char1,Header Char1 Char Char Char Char"/>
    <w:basedOn w:val="Normal"/>
    <w:link w:val="HeaderChar"/>
    <w:uiPriority w:val="99"/>
    <w:rsid w:val="00830BE3"/>
    <w:pPr>
      <w:tabs>
        <w:tab w:val="center" w:pos="4153"/>
        <w:tab w:val="right" w:pos="8306"/>
      </w:tabs>
    </w:pPr>
    <w:rPr>
      <w:szCs w:val="24"/>
    </w:rPr>
  </w:style>
  <w:style w:type="character" w:customStyle="1" w:styleId="HeaderChar">
    <w:name w:val="Header Char"/>
    <w:aliases w:val="Header Char2 Char,Header Char1 Char1 Char,Header Char Char Char1 Char,Header Char1 Char Char Char1 Char,Header Char Char Char Char Char1 Char,Header Char Char1 Char1 Char,Header Char Char2 Char,Header Char1 Char Char1 Char"/>
    <w:basedOn w:val="DefaultParagraphFont"/>
    <w:link w:val="Header"/>
    <w:uiPriority w:val="99"/>
    <w:rsid w:val="00830BE3"/>
    <w:rPr>
      <w:rFonts w:ascii="Times" w:eastAsia="Times New Roman" w:hAnsi="Times" w:cs="Simplified Arabic"/>
      <w:noProof/>
      <w:sz w:val="20"/>
      <w:szCs w:val="24"/>
      <w:lang w:eastAsia="en-US"/>
    </w:rPr>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qFormat/>
    <w:rsid w:val="00830BE3"/>
    <w:rPr>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rsid w:val="00830BE3"/>
    <w:rPr>
      <w:rFonts w:ascii="Times" w:eastAsia="Times New Roman" w:hAnsi="Times" w:cs="Simplified Arabic"/>
      <w:noProof/>
      <w:sz w:val="20"/>
      <w:szCs w:val="20"/>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stylish,Footnote symbol"/>
    <w:link w:val="BVIfnrCharCharCharChar"/>
    <w:uiPriority w:val="99"/>
    <w:qFormat/>
    <w:rsid w:val="00830BE3"/>
    <w:rPr>
      <w:vertAlign w:val="superscript"/>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rsid w:val="00830BE3"/>
    <w:pPr>
      <w:bidi w:val="0"/>
      <w:spacing w:before="120" w:after="160" w:line="240" w:lineRule="exact"/>
    </w:pPr>
    <w:rPr>
      <w:rFonts w:asciiTheme="minorHAnsi" w:eastAsiaTheme="minorEastAsia" w:hAnsiTheme="minorHAnsi" w:cstheme="minorBidi"/>
      <w:noProof w:val="0"/>
      <w:sz w:val="22"/>
      <w:szCs w:val="22"/>
      <w:vertAlign w:val="superscrip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Words>
  <Characters>1501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2019-11-27T19:36:00Z</dcterms:created>
  <dcterms:modified xsi:type="dcterms:W3CDTF">2019-11-27T19:36:00Z</dcterms:modified>
</cp:coreProperties>
</file>