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3DC3" w:rsidRPr="00C860F5" w:rsidRDefault="004F3DC3" w:rsidP="004F3DC3">
      <w:pPr>
        <w:spacing w:before="320" w:after="240" w:line="240" w:lineRule="auto"/>
        <w:ind w:left="1200"/>
        <w:jc w:val="left"/>
        <w:rPr>
          <w:rFonts w:eastAsia="SimHei"/>
          <w:b/>
          <w:sz w:val="32"/>
          <w:szCs w:val="32"/>
          <w:lang w:val="zh-CN"/>
        </w:rPr>
      </w:pPr>
      <w:r w:rsidRPr="00C860F5">
        <w:rPr>
          <w:rFonts w:eastAsia="SimHei"/>
          <w:b/>
          <w:sz w:val="32"/>
          <w:szCs w:val="32"/>
          <w:lang w:val="zh-CN"/>
        </w:rPr>
        <w:t>RC-9/5</w:t>
      </w:r>
      <w:r w:rsidRPr="00C860F5">
        <w:rPr>
          <w:rFonts w:eastAsia="SimHei"/>
          <w:b/>
          <w:sz w:val="32"/>
          <w:szCs w:val="32"/>
          <w:lang w:val="zh-CN"/>
        </w:rPr>
        <w:t>：考虑将乙草胺列入《鹿特丹公约》附件三</w:t>
      </w:r>
    </w:p>
    <w:p w:rsidR="004F3DC3" w:rsidRPr="00A27BF1" w:rsidRDefault="004F3DC3" w:rsidP="004F3DC3">
      <w:pPr>
        <w:tabs>
          <w:tab w:val="clear" w:pos="1247"/>
          <w:tab w:val="left" w:pos="1440"/>
        </w:tabs>
        <w:spacing w:line="240" w:lineRule="auto"/>
        <w:ind w:left="1200" w:firstLine="480"/>
        <w:rPr>
          <w:rFonts w:ascii="KaiTi" w:eastAsia="KaiTi" w:hAnsi="KaiTi"/>
          <w:sz w:val="24"/>
          <w:szCs w:val="24"/>
        </w:rPr>
      </w:pPr>
      <w:r w:rsidRPr="00A27BF1">
        <w:rPr>
          <w:rFonts w:ascii="KaiTi" w:eastAsia="KaiTi" w:hAnsi="KaiTi"/>
          <w:iCs/>
          <w:sz w:val="24"/>
          <w:szCs w:val="24"/>
          <w:lang w:val="zh-CN"/>
        </w:rPr>
        <w:t>缔约方大会，</w:t>
      </w:r>
    </w:p>
    <w:p w:rsidR="004F3DC3" w:rsidRPr="00A27BF1" w:rsidRDefault="004F3DC3" w:rsidP="004F3DC3">
      <w:pPr>
        <w:tabs>
          <w:tab w:val="clear" w:pos="1247"/>
          <w:tab w:val="left" w:pos="1440"/>
        </w:tabs>
        <w:spacing w:line="240" w:lineRule="auto"/>
        <w:ind w:left="1200" w:firstLine="480"/>
        <w:rPr>
          <w:sz w:val="24"/>
          <w:szCs w:val="24"/>
        </w:rPr>
      </w:pPr>
      <w:r w:rsidRPr="00A27BF1">
        <w:rPr>
          <w:rFonts w:ascii="KaiTi" w:eastAsia="KaiTi" w:hAnsi="KaiTi"/>
          <w:sz w:val="24"/>
          <w:szCs w:val="24"/>
          <w:lang w:val="zh-CN"/>
        </w:rPr>
        <w:t>赞赏地注意到</w:t>
      </w:r>
      <w:r w:rsidRPr="00A27BF1">
        <w:rPr>
          <w:sz w:val="24"/>
          <w:szCs w:val="24"/>
          <w:lang w:val="zh-CN"/>
        </w:rPr>
        <w:t>化学品审查委员会审议乙草胺的工作，特别是关于该化学品的决定指导文件草案</w:t>
      </w:r>
      <w:r w:rsidRPr="00A27BF1">
        <w:rPr>
          <w:rStyle w:val="FootnoteReference"/>
          <w:sz w:val="24"/>
          <w:lang w:val="zh-CN"/>
        </w:rPr>
        <w:footnoteReference w:customMarkFollows="1" w:id="1"/>
        <w:t>1</w:t>
      </w:r>
      <w:r w:rsidRPr="00A27BF1">
        <w:rPr>
          <w:sz w:val="24"/>
          <w:szCs w:val="24"/>
          <w:lang w:val="zh-CN"/>
        </w:rPr>
        <w:t>的技术质量和全面性，</w:t>
      </w:r>
    </w:p>
    <w:p w:rsidR="004F3DC3" w:rsidRPr="00A27BF1" w:rsidRDefault="004F3DC3" w:rsidP="004F3DC3">
      <w:pPr>
        <w:tabs>
          <w:tab w:val="clear" w:pos="1247"/>
          <w:tab w:val="left" w:pos="1440"/>
        </w:tabs>
        <w:spacing w:line="240" w:lineRule="auto"/>
        <w:ind w:left="1200" w:firstLine="480"/>
        <w:rPr>
          <w:sz w:val="24"/>
          <w:szCs w:val="24"/>
        </w:rPr>
      </w:pPr>
      <w:r w:rsidRPr="00A27BF1">
        <w:rPr>
          <w:rFonts w:ascii="KaiTi" w:eastAsia="KaiTi" w:hAnsi="KaiTi" w:cs="Arial"/>
          <w:sz w:val="24"/>
          <w:szCs w:val="24"/>
          <w:lang w:val="zh-CN"/>
        </w:rPr>
        <w:t>审议了</w:t>
      </w:r>
      <w:r w:rsidRPr="00A27BF1">
        <w:rPr>
          <w:sz w:val="24"/>
          <w:szCs w:val="24"/>
          <w:lang w:val="zh-CN"/>
        </w:rPr>
        <w:t>化学品审查委员会关于对乙草胺适用事先知情同意程序并据此将其作为农药列入《关于在国际贸易中对某些危险化学品和农药采用事先知情同意程序的鹿特丹公约》附件三的建议，</w:t>
      </w:r>
    </w:p>
    <w:p w:rsidR="004F3DC3" w:rsidRPr="00A27BF1" w:rsidRDefault="004F3DC3" w:rsidP="004F3DC3">
      <w:pPr>
        <w:tabs>
          <w:tab w:val="clear" w:pos="1247"/>
          <w:tab w:val="left" w:pos="1440"/>
        </w:tabs>
        <w:spacing w:line="240" w:lineRule="auto"/>
        <w:ind w:left="1200" w:firstLine="480"/>
        <w:rPr>
          <w:i/>
          <w:sz w:val="24"/>
          <w:szCs w:val="24"/>
        </w:rPr>
      </w:pPr>
      <w:r w:rsidRPr="00A27BF1">
        <w:rPr>
          <w:rFonts w:ascii="KaiTi" w:eastAsia="KaiTi" w:hAnsi="KaiTi" w:cs="Arial"/>
          <w:sz w:val="24"/>
          <w:szCs w:val="24"/>
          <w:lang w:val="zh-CN"/>
        </w:rPr>
        <w:t>考虑到</w:t>
      </w:r>
      <w:r w:rsidRPr="00A27BF1">
        <w:rPr>
          <w:sz w:val="24"/>
          <w:szCs w:val="24"/>
          <w:lang w:val="zh-CN"/>
        </w:rPr>
        <w:t>缔约方大会尚未就是否将乙草胺列入附件达成共识，</w:t>
      </w:r>
    </w:p>
    <w:p w:rsidR="004F3DC3" w:rsidRPr="00A27BF1" w:rsidRDefault="004F3DC3" w:rsidP="004F3DC3">
      <w:pPr>
        <w:tabs>
          <w:tab w:val="clear" w:pos="1247"/>
          <w:tab w:val="left" w:pos="1440"/>
        </w:tabs>
        <w:spacing w:line="240" w:lineRule="auto"/>
        <w:ind w:left="1200" w:firstLine="480"/>
        <w:rPr>
          <w:sz w:val="24"/>
          <w:szCs w:val="24"/>
        </w:rPr>
      </w:pPr>
      <w:r w:rsidRPr="00A27BF1">
        <w:rPr>
          <w:rFonts w:ascii="KaiTi" w:eastAsia="KaiTi" w:hAnsi="KaiTi" w:cs="Arial"/>
          <w:sz w:val="24"/>
          <w:szCs w:val="24"/>
          <w:lang w:val="zh-CN"/>
        </w:rPr>
        <w:t>意识到</w:t>
      </w:r>
      <w:r w:rsidRPr="00A27BF1">
        <w:rPr>
          <w:sz w:val="24"/>
          <w:szCs w:val="24"/>
          <w:lang w:val="zh-CN"/>
        </w:rPr>
        <w:t>由于尚未达成共识，许多缔约方已对此表示关切</w:t>
      </w:r>
      <w:r w:rsidRPr="00A27BF1">
        <w:rPr>
          <w:rFonts w:hint="eastAsia"/>
          <w:sz w:val="24"/>
          <w:szCs w:val="24"/>
          <w:lang w:val="zh-CN"/>
        </w:rPr>
        <w:t>，</w:t>
      </w:r>
    </w:p>
    <w:p w:rsidR="004F3DC3" w:rsidRPr="00A27BF1" w:rsidRDefault="004F3DC3" w:rsidP="004F3DC3">
      <w:pPr>
        <w:tabs>
          <w:tab w:val="clear" w:pos="1247"/>
          <w:tab w:val="left" w:pos="1440"/>
        </w:tabs>
        <w:spacing w:line="240" w:lineRule="auto"/>
        <w:ind w:left="1200" w:firstLine="480"/>
        <w:rPr>
          <w:snapToGrid w:val="0"/>
          <w:sz w:val="24"/>
          <w:szCs w:val="24"/>
        </w:rPr>
      </w:pPr>
      <w:r w:rsidRPr="00A27BF1">
        <w:rPr>
          <w:sz w:val="24"/>
          <w:szCs w:val="24"/>
          <w:lang w:val="zh-CN"/>
        </w:rPr>
        <w:t>1.</w:t>
      </w:r>
      <w:r w:rsidRPr="00A27BF1">
        <w:rPr>
          <w:sz w:val="24"/>
          <w:szCs w:val="24"/>
          <w:lang w:val="zh-CN"/>
        </w:rPr>
        <w:tab/>
      </w:r>
      <w:r w:rsidRPr="00A27BF1">
        <w:rPr>
          <w:rFonts w:ascii="KaiTi" w:eastAsia="KaiTi" w:hAnsi="KaiTi" w:cs="Arial"/>
          <w:sz w:val="24"/>
          <w:szCs w:val="24"/>
          <w:lang w:val="zh-CN"/>
        </w:rPr>
        <w:t>决定</w:t>
      </w:r>
      <w:r w:rsidRPr="00A27BF1">
        <w:rPr>
          <w:sz w:val="24"/>
          <w:szCs w:val="24"/>
          <w:lang w:val="zh-CN"/>
        </w:rPr>
        <w:t>缔约方大会第十次会议的议程应该包括进一步审议关于修</w:t>
      </w:r>
      <w:r w:rsidRPr="00A27BF1">
        <w:rPr>
          <w:rFonts w:hint="eastAsia"/>
          <w:sz w:val="24"/>
          <w:szCs w:val="24"/>
          <w:lang w:val="zh-CN"/>
        </w:rPr>
        <w:t>正</w:t>
      </w:r>
      <w:r w:rsidRPr="00A27BF1">
        <w:rPr>
          <w:sz w:val="24"/>
          <w:szCs w:val="24"/>
          <w:lang w:val="zh-CN"/>
        </w:rPr>
        <w:t>《鹿特丹公约》附件三以包含以下化学品的决定草案：</w:t>
      </w:r>
    </w:p>
    <w:tbl>
      <w:tblPr>
        <w:tblW w:w="8307" w:type="dxa"/>
        <w:tblInd w:w="1247" w:type="dxa"/>
        <w:tblLayout w:type="fixed"/>
        <w:tblLook w:val="01E0" w:firstRow="1" w:lastRow="1" w:firstColumn="1" w:lastColumn="1" w:noHBand="0" w:noVBand="0"/>
      </w:tblPr>
      <w:tblGrid>
        <w:gridCol w:w="2810"/>
        <w:gridCol w:w="2642"/>
        <w:gridCol w:w="2855"/>
      </w:tblGrid>
      <w:tr w:rsidR="004F3DC3" w:rsidRPr="00C860F5" w:rsidTr="00375A58">
        <w:tc>
          <w:tcPr>
            <w:tcW w:w="2715" w:type="dxa"/>
            <w:tcBorders>
              <w:top w:val="single" w:sz="4" w:space="0" w:color="auto"/>
              <w:bottom w:val="single" w:sz="12" w:space="0" w:color="auto"/>
            </w:tcBorders>
            <w:vAlign w:val="center"/>
          </w:tcPr>
          <w:p w:rsidR="004F3DC3" w:rsidRPr="00C860F5" w:rsidRDefault="004F3DC3" w:rsidP="00375A58">
            <w:pPr>
              <w:keepNext/>
              <w:tabs>
                <w:tab w:val="left" w:pos="624"/>
                <w:tab w:val="left" w:pos="1871"/>
                <w:tab w:val="left" w:pos="2495"/>
              </w:tabs>
              <w:spacing w:line="240" w:lineRule="auto"/>
              <w:outlineLvl w:val="3"/>
              <w:rPr>
                <w:rFonts w:eastAsia="KaiTi"/>
                <w:sz w:val="24"/>
                <w:szCs w:val="24"/>
                <w:lang w:val="zh-CN"/>
              </w:rPr>
            </w:pPr>
            <w:r w:rsidRPr="00C860F5">
              <w:rPr>
                <w:rFonts w:eastAsia="KaiTi"/>
                <w:sz w:val="24"/>
                <w:szCs w:val="24"/>
                <w:lang w:val="zh-CN"/>
              </w:rPr>
              <w:t>化学品</w:t>
            </w:r>
          </w:p>
        </w:tc>
        <w:tc>
          <w:tcPr>
            <w:tcW w:w="2552" w:type="dxa"/>
            <w:tcBorders>
              <w:top w:val="single" w:sz="4" w:space="0" w:color="auto"/>
              <w:bottom w:val="single" w:sz="12" w:space="0" w:color="auto"/>
            </w:tcBorders>
            <w:vAlign w:val="center"/>
          </w:tcPr>
          <w:p w:rsidR="004F3DC3" w:rsidRPr="00C860F5" w:rsidRDefault="004F3DC3" w:rsidP="00375A58">
            <w:pPr>
              <w:tabs>
                <w:tab w:val="left" w:pos="624"/>
                <w:tab w:val="left" w:pos="1871"/>
                <w:tab w:val="left" w:pos="2495"/>
              </w:tabs>
              <w:spacing w:line="240" w:lineRule="auto"/>
              <w:rPr>
                <w:rFonts w:eastAsia="KaiTi"/>
                <w:sz w:val="24"/>
                <w:szCs w:val="24"/>
                <w:lang w:val="zh-CN"/>
              </w:rPr>
            </w:pPr>
            <w:r w:rsidRPr="00C860F5">
              <w:rPr>
                <w:rFonts w:eastAsia="KaiTi"/>
                <w:sz w:val="24"/>
                <w:szCs w:val="24"/>
                <w:lang w:val="zh-CN"/>
              </w:rPr>
              <w:t>相关化学文摘社编号</w:t>
            </w:r>
          </w:p>
        </w:tc>
        <w:tc>
          <w:tcPr>
            <w:tcW w:w="2758" w:type="dxa"/>
            <w:tcBorders>
              <w:top w:val="single" w:sz="4" w:space="0" w:color="auto"/>
              <w:bottom w:val="single" w:sz="12" w:space="0" w:color="auto"/>
            </w:tcBorders>
            <w:vAlign w:val="center"/>
          </w:tcPr>
          <w:p w:rsidR="004F3DC3" w:rsidRPr="00C860F5" w:rsidRDefault="004F3DC3" w:rsidP="00375A58">
            <w:pPr>
              <w:tabs>
                <w:tab w:val="left" w:pos="624"/>
                <w:tab w:val="left" w:pos="1871"/>
                <w:tab w:val="left" w:pos="2495"/>
              </w:tabs>
              <w:spacing w:line="240" w:lineRule="auto"/>
              <w:rPr>
                <w:rFonts w:eastAsia="KaiTi"/>
                <w:sz w:val="24"/>
                <w:szCs w:val="24"/>
                <w:lang w:val="zh-CN"/>
              </w:rPr>
            </w:pPr>
            <w:r w:rsidRPr="00C860F5">
              <w:rPr>
                <w:rFonts w:eastAsia="KaiTi"/>
                <w:sz w:val="24"/>
                <w:szCs w:val="24"/>
                <w:lang w:val="zh-CN"/>
              </w:rPr>
              <w:t>类别</w:t>
            </w:r>
          </w:p>
        </w:tc>
      </w:tr>
      <w:tr w:rsidR="004F3DC3" w:rsidRPr="00C860F5" w:rsidTr="00375A58">
        <w:tc>
          <w:tcPr>
            <w:tcW w:w="2715" w:type="dxa"/>
            <w:tcBorders>
              <w:top w:val="single" w:sz="12" w:space="0" w:color="auto"/>
              <w:bottom w:val="single" w:sz="12" w:space="0" w:color="auto"/>
            </w:tcBorders>
          </w:tcPr>
          <w:p w:rsidR="004F3DC3" w:rsidRPr="00C860F5" w:rsidRDefault="004F3DC3" w:rsidP="00375A58">
            <w:pPr>
              <w:tabs>
                <w:tab w:val="left" w:pos="624"/>
                <w:tab w:val="left" w:pos="1871"/>
                <w:tab w:val="left" w:pos="2495"/>
              </w:tabs>
              <w:spacing w:line="240" w:lineRule="auto"/>
              <w:rPr>
                <w:sz w:val="24"/>
                <w:lang w:val="zh-CN"/>
              </w:rPr>
            </w:pPr>
            <w:r w:rsidRPr="00C860F5">
              <w:rPr>
                <w:sz w:val="24"/>
                <w:lang w:val="zh-CN"/>
              </w:rPr>
              <w:t>乙草胺</w:t>
            </w:r>
          </w:p>
        </w:tc>
        <w:tc>
          <w:tcPr>
            <w:tcW w:w="2552" w:type="dxa"/>
            <w:tcBorders>
              <w:top w:val="single" w:sz="12" w:space="0" w:color="auto"/>
              <w:bottom w:val="single" w:sz="12" w:space="0" w:color="auto"/>
            </w:tcBorders>
          </w:tcPr>
          <w:p w:rsidR="004F3DC3" w:rsidRPr="00C860F5" w:rsidRDefault="004F3DC3" w:rsidP="00375A58">
            <w:pPr>
              <w:tabs>
                <w:tab w:val="left" w:pos="624"/>
                <w:tab w:val="left" w:pos="1871"/>
                <w:tab w:val="left" w:pos="2495"/>
              </w:tabs>
              <w:spacing w:line="240" w:lineRule="auto"/>
              <w:rPr>
                <w:sz w:val="24"/>
                <w:lang w:val="zh-CN"/>
              </w:rPr>
            </w:pPr>
            <w:r w:rsidRPr="00C860F5">
              <w:rPr>
                <w:sz w:val="24"/>
                <w:lang w:val="zh-CN"/>
              </w:rPr>
              <w:t>34256-82-1</w:t>
            </w:r>
          </w:p>
        </w:tc>
        <w:tc>
          <w:tcPr>
            <w:tcW w:w="2758" w:type="dxa"/>
            <w:tcBorders>
              <w:top w:val="single" w:sz="12" w:space="0" w:color="auto"/>
              <w:bottom w:val="single" w:sz="12" w:space="0" w:color="auto"/>
            </w:tcBorders>
          </w:tcPr>
          <w:p w:rsidR="004F3DC3" w:rsidRPr="00C860F5" w:rsidRDefault="004F3DC3" w:rsidP="00375A58">
            <w:pPr>
              <w:tabs>
                <w:tab w:val="left" w:pos="624"/>
                <w:tab w:val="left" w:pos="1871"/>
                <w:tab w:val="left" w:pos="2495"/>
              </w:tabs>
              <w:spacing w:line="240" w:lineRule="auto"/>
              <w:rPr>
                <w:sz w:val="24"/>
                <w:lang w:val="zh-CN"/>
              </w:rPr>
            </w:pPr>
            <w:r w:rsidRPr="00C860F5">
              <w:rPr>
                <w:sz w:val="24"/>
                <w:lang w:val="zh-CN"/>
              </w:rPr>
              <w:t>农药</w:t>
            </w:r>
          </w:p>
        </w:tc>
      </w:tr>
    </w:tbl>
    <w:p w:rsidR="004F3DC3" w:rsidRPr="00C860F5" w:rsidRDefault="004F3DC3" w:rsidP="004F3DC3">
      <w:pPr>
        <w:spacing w:before="120" w:line="240" w:lineRule="auto"/>
        <w:ind w:left="1200" w:firstLine="480"/>
        <w:rPr>
          <w:sz w:val="24"/>
          <w:szCs w:val="24"/>
        </w:rPr>
      </w:pPr>
      <w:r w:rsidRPr="00C860F5">
        <w:rPr>
          <w:sz w:val="24"/>
          <w:szCs w:val="24"/>
          <w:lang w:val="zh-CN"/>
        </w:rPr>
        <w:t>2.</w:t>
      </w:r>
      <w:r w:rsidRPr="00C860F5">
        <w:rPr>
          <w:sz w:val="24"/>
          <w:szCs w:val="24"/>
          <w:lang w:val="zh-CN"/>
        </w:rPr>
        <w:tab/>
      </w:r>
      <w:r w:rsidRPr="003E0045">
        <w:rPr>
          <w:rFonts w:ascii="KaiTi" w:eastAsia="KaiTi" w:hAnsi="KaiTi" w:hint="eastAsia"/>
          <w:sz w:val="24"/>
          <w:szCs w:val="24"/>
          <w:lang w:val="zh-CN"/>
        </w:rPr>
        <w:t>又</w:t>
      </w:r>
      <w:r w:rsidRPr="00C860F5">
        <w:rPr>
          <w:rFonts w:ascii="KaiTi" w:eastAsia="KaiTi" w:hAnsi="KaiTi" w:cs="Arial"/>
          <w:sz w:val="24"/>
          <w:szCs w:val="24"/>
          <w:lang w:val="zh-CN"/>
        </w:rPr>
        <w:t>决定</w:t>
      </w:r>
      <w:r w:rsidRPr="00C860F5">
        <w:rPr>
          <w:sz w:val="24"/>
          <w:szCs w:val="24"/>
          <w:lang w:val="zh-CN"/>
        </w:rPr>
        <w:t>《鹿特丹公约》第</w:t>
      </w:r>
      <w:r w:rsidRPr="00C860F5">
        <w:rPr>
          <w:sz w:val="24"/>
          <w:szCs w:val="24"/>
          <w:lang w:val="zh-CN"/>
        </w:rPr>
        <w:t>5</w:t>
      </w:r>
      <w:r w:rsidRPr="00C860F5">
        <w:rPr>
          <w:sz w:val="24"/>
          <w:szCs w:val="24"/>
          <w:lang w:val="zh-CN"/>
        </w:rPr>
        <w:t>条规定的要求（包括《公约》第</w:t>
      </w:r>
      <w:r w:rsidRPr="00C860F5">
        <w:rPr>
          <w:sz w:val="24"/>
          <w:szCs w:val="24"/>
          <w:lang w:val="zh-CN"/>
        </w:rPr>
        <w:t>5</w:t>
      </w:r>
      <w:r w:rsidRPr="00C860F5">
        <w:rPr>
          <w:sz w:val="24"/>
          <w:szCs w:val="24"/>
          <w:lang w:val="zh-CN"/>
        </w:rPr>
        <w:t>条第</w:t>
      </w:r>
      <w:r w:rsidRPr="00C860F5">
        <w:rPr>
          <w:sz w:val="24"/>
          <w:szCs w:val="24"/>
          <w:lang w:val="zh-CN"/>
        </w:rPr>
        <w:t>6</w:t>
      </w:r>
      <w:r w:rsidRPr="00C860F5">
        <w:rPr>
          <w:sz w:val="24"/>
          <w:szCs w:val="24"/>
          <w:lang w:val="zh-CN"/>
        </w:rPr>
        <w:t>款提到的《公约》附件二规定的标准）以及关于《公约》附件三增列程序的《公约》第</w:t>
      </w:r>
      <w:r w:rsidRPr="00C860F5">
        <w:rPr>
          <w:sz w:val="24"/>
          <w:szCs w:val="24"/>
          <w:lang w:val="zh-CN"/>
        </w:rPr>
        <w:t>7</w:t>
      </w:r>
      <w:r w:rsidRPr="00C860F5">
        <w:rPr>
          <w:sz w:val="24"/>
          <w:szCs w:val="24"/>
          <w:lang w:val="zh-CN"/>
        </w:rPr>
        <w:t>条第</w:t>
      </w:r>
      <w:r w:rsidRPr="00C860F5">
        <w:rPr>
          <w:sz w:val="24"/>
          <w:szCs w:val="24"/>
          <w:lang w:val="zh-CN"/>
        </w:rPr>
        <w:t>1</w:t>
      </w:r>
      <w:r w:rsidRPr="00C860F5">
        <w:rPr>
          <w:sz w:val="24"/>
          <w:szCs w:val="24"/>
          <w:lang w:val="zh-CN"/>
        </w:rPr>
        <w:t>款和第</w:t>
      </w:r>
      <w:r w:rsidRPr="00C860F5">
        <w:rPr>
          <w:sz w:val="24"/>
          <w:szCs w:val="24"/>
          <w:lang w:val="zh-CN"/>
        </w:rPr>
        <w:t>7</w:t>
      </w:r>
      <w:r w:rsidRPr="00C860F5">
        <w:rPr>
          <w:sz w:val="24"/>
          <w:szCs w:val="24"/>
          <w:lang w:val="zh-CN"/>
        </w:rPr>
        <w:t>条第</w:t>
      </w:r>
      <w:r w:rsidRPr="00C860F5">
        <w:rPr>
          <w:sz w:val="24"/>
          <w:szCs w:val="24"/>
          <w:lang w:val="zh-CN"/>
        </w:rPr>
        <w:t>2</w:t>
      </w:r>
      <w:r w:rsidRPr="00C860F5">
        <w:rPr>
          <w:sz w:val="24"/>
          <w:szCs w:val="24"/>
          <w:lang w:val="zh-CN"/>
        </w:rPr>
        <w:t>款第一句规定的要求均已满足；</w:t>
      </w:r>
    </w:p>
    <w:p w:rsidR="004F3DC3" w:rsidRPr="00C860F5" w:rsidRDefault="004F3DC3" w:rsidP="004F3DC3">
      <w:pPr>
        <w:spacing w:line="240" w:lineRule="auto"/>
        <w:ind w:left="1200" w:firstLine="480"/>
        <w:rPr>
          <w:sz w:val="24"/>
          <w:szCs w:val="24"/>
        </w:rPr>
      </w:pPr>
      <w:r w:rsidRPr="00C860F5">
        <w:rPr>
          <w:sz w:val="24"/>
          <w:szCs w:val="24"/>
          <w:lang w:val="zh-CN"/>
        </w:rPr>
        <w:t>3.</w:t>
      </w:r>
      <w:r w:rsidRPr="00C860F5">
        <w:rPr>
          <w:sz w:val="24"/>
          <w:szCs w:val="24"/>
          <w:lang w:val="zh-CN"/>
        </w:rPr>
        <w:tab/>
      </w:r>
      <w:r w:rsidRPr="00C860F5">
        <w:rPr>
          <w:rFonts w:ascii="KaiTi" w:eastAsia="KaiTi" w:hAnsi="KaiTi" w:cs="Arial"/>
          <w:sz w:val="24"/>
          <w:szCs w:val="24"/>
          <w:lang w:val="zh-CN"/>
        </w:rPr>
        <w:t>鼓励</w:t>
      </w:r>
      <w:r w:rsidRPr="00C860F5">
        <w:rPr>
          <w:sz w:val="24"/>
          <w:szCs w:val="24"/>
          <w:lang w:val="zh-CN"/>
        </w:rPr>
        <w:t>缔约方利用关于乙草胺的所有现有信息，协助其他各方</w:t>
      </w:r>
      <w:r w:rsidRPr="00C860F5">
        <w:rPr>
          <w:rFonts w:hint="eastAsia"/>
          <w:sz w:val="24"/>
          <w:szCs w:val="24"/>
          <w:lang w:val="zh-CN"/>
        </w:rPr>
        <w:t>（</w:t>
      </w:r>
      <w:r w:rsidRPr="00C860F5">
        <w:rPr>
          <w:sz w:val="24"/>
          <w:szCs w:val="24"/>
          <w:lang w:val="zh-CN"/>
        </w:rPr>
        <w:t>特别是发展中国家缔约方和经济转型缔约方</w:t>
      </w:r>
      <w:r w:rsidRPr="00C860F5">
        <w:rPr>
          <w:rFonts w:hint="eastAsia"/>
          <w:sz w:val="24"/>
          <w:szCs w:val="24"/>
          <w:lang w:val="zh-CN"/>
        </w:rPr>
        <w:t>）</w:t>
      </w:r>
      <w:proofErr w:type="gramStart"/>
      <w:r w:rsidRPr="00C860F5">
        <w:rPr>
          <w:sz w:val="24"/>
          <w:szCs w:val="24"/>
          <w:lang w:val="zh-CN"/>
        </w:rPr>
        <w:t>就乙草</w:t>
      </w:r>
      <w:proofErr w:type="gramEnd"/>
      <w:r w:rsidRPr="00C860F5">
        <w:rPr>
          <w:sz w:val="24"/>
          <w:szCs w:val="24"/>
          <w:lang w:val="zh-CN"/>
        </w:rPr>
        <w:t>胺的进口和管理</w:t>
      </w:r>
      <w:proofErr w:type="gramStart"/>
      <w:r w:rsidRPr="00C860F5">
        <w:rPr>
          <w:sz w:val="24"/>
          <w:szCs w:val="24"/>
          <w:lang w:val="zh-CN"/>
        </w:rPr>
        <w:t>作出</w:t>
      </w:r>
      <w:proofErr w:type="gramEnd"/>
      <w:r w:rsidRPr="00C860F5">
        <w:rPr>
          <w:sz w:val="24"/>
          <w:szCs w:val="24"/>
          <w:lang w:val="zh-CN"/>
        </w:rPr>
        <w:t>知情决定，并</w:t>
      </w:r>
      <w:r w:rsidRPr="003E0045">
        <w:rPr>
          <w:rFonts w:hint="eastAsia"/>
          <w:sz w:val="24"/>
          <w:szCs w:val="24"/>
          <w:lang w:val="zh-CN"/>
        </w:rPr>
        <w:t>根据</w:t>
      </w:r>
      <w:r w:rsidRPr="00C860F5">
        <w:rPr>
          <w:sz w:val="24"/>
          <w:szCs w:val="24"/>
          <w:lang w:val="zh-CN"/>
        </w:rPr>
        <w:t>《鹿特丹公约》第</w:t>
      </w:r>
      <w:r w:rsidRPr="00C860F5">
        <w:rPr>
          <w:sz w:val="24"/>
          <w:szCs w:val="24"/>
          <w:lang w:val="zh-CN"/>
        </w:rPr>
        <w:t>14</w:t>
      </w:r>
      <w:r w:rsidRPr="00C860F5">
        <w:rPr>
          <w:sz w:val="24"/>
          <w:szCs w:val="24"/>
          <w:lang w:val="zh-CN"/>
        </w:rPr>
        <w:t>条的信息</w:t>
      </w:r>
      <w:r w:rsidRPr="00C860F5">
        <w:rPr>
          <w:rFonts w:hint="eastAsia"/>
          <w:sz w:val="24"/>
          <w:szCs w:val="24"/>
          <w:lang w:val="zh-CN"/>
        </w:rPr>
        <w:t>交流规定</w:t>
      </w:r>
      <w:r w:rsidRPr="00C860F5">
        <w:rPr>
          <w:sz w:val="24"/>
          <w:szCs w:val="24"/>
          <w:lang w:val="zh-CN"/>
        </w:rPr>
        <w:t>，将这些决定通知其他缔约方。</w:t>
      </w:r>
    </w:p>
    <w:p w:rsidR="004F3DC3" w:rsidRPr="00C860F5" w:rsidRDefault="004F3DC3" w:rsidP="004F3DC3">
      <w:pPr>
        <w:pStyle w:val="Normalnumber"/>
        <w:numPr>
          <w:ilvl w:val="0"/>
          <w:numId w:val="0"/>
        </w:numPr>
        <w:tabs>
          <w:tab w:val="left" w:pos="2340"/>
        </w:tabs>
        <w:ind w:left="2283" w:hanging="1080"/>
        <w:jc w:val="both"/>
        <w:rPr>
          <w:sz w:val="24"/>
          <w:szCs w:val="24"/>
          <w:lang w:val="en-US" w:eastAsia="zh-CN"/>
        </w:rPr>
      </w:pPr>
    </w:p>
    <w:p w:rsidR="004F3DC3" w:rsidRPr="00C860F5" w:rsidRDefault="004F3DC3" w:rsidP="004F3DC3">
      <w:pPr>
        <w:pStyle w:val="Normalnumber"/>
        <w:numPr>
          <w:ilvl w:val="0"/>
          <w:numId w:val="0"/>
        </w:numPr>
        <w:tabs>
          <w:tab w:val="left" w:pos="2340"/>
        </w:tabs>
        <w:ind w:left="2283" w:hanging="1080"/>
        <w:jc w:val="both"/>
        <w:rPr>
          <w:sz w:val="24"/>
          <w:szCs w:val="24"/>
          <w:lang w:val="en-US" w:eastAsia="zh-CN"/>
        </w:rPr>
      </w:pPr>
    </w:p>
    <w:p w:rsidR="004F3DC3" w:rsidRPr="00C860F5" w:rsidRDefault="004F3DC3" w:rsidP="004F3DC3">
      <w:pPr>
        <w:pStyle w:val="Normalnumber"/>
        <w:numPr>
          <w:ilvl w:val="0"/>
          <w:numId w:val="0"/>
        </w:numPr>
        <w:tabs>
          <w:tab w:val="left" w:pos="2340"/>
        </w:tabs>
        <w:ind w:left="2283" w:hanging="1080"/>
        <w:jc w:val="both"/>
        <w:rPr>
          <w:sz w:val="24"/>
          <w:szCs w:val="24"/>
          <w:lang w:val="en-US" w:eastAsia="zh-CN"/>
        </w:rPr>
      </w:pPr>
    </w:p>
    <w:p w:rsidR="004F3DC3" w:rsidRPr="00C860F5" w:rsidRDefault="004F3DC3" w:rsidP="004F3DC3">
      <w:pPr>
        <w:pStyle w:val="Normalnumber"/>
        <w:numPr>
          <w:ilvl w:val="0"/>
          <w:numId w:val="0"/>
        </w:numPr>
        <w:tabs>
          <w:tab w:val="left" w:pos="2340"/>
        </w:tabs>
        <w:ind w:left="2283" w:hanging="1080"/>
        <w:jc w:val="both"/>
        <w:rPr>
          <w:sz w:val="24"/>
          <w:szCs w:val="24"/>
          <w:lang w:val="en-US" w:eastAsia="zh-CN"/>
        </w:rPr>
      </w:pPr>
    </w:p>
    <w:p w:rsidR="004F3DC3" w:rsidRPr="00C860F5" w:rsidRDefault="004F3DC3" w:rsidP="004F3DC3">
      <w:pPr>
        <w:pStyle w:val="Normalnumber"/>
        <w:numPr>
          <w:ilvl w:val="0"/>
          <w:numId w:val="0"/>
        </w:numPr>
        <w:tabs>
          <w:tab w:val="left" w:pos="2340"/>
        </w:tabs>
        <w:ind w:left="2283" w:hanging="1080"/>
        <w:jc w:val="both"/>
        <w:rPr>
          <w:sz w:val="24"/>
          <w:szCs w:val="24"/>
          <w:lang w:val="en-US" w:eastAsia="zh-CN"/>
        </w:rPr>
      </w:pPr>
    </w:p>
    <w:p w:rsidR="004F3DC3" w:rsidRPr="00C860F5" w:rsidRDefault="004F3DC3" w:rsidP="004F3DC3">
      <w:pPr>
        <w:pStyle w:val="Normalnumber"/>
        <w:numPr>
          <w:ilvl w:val="0"/>
          <w:numId w:val="0"/>
        </w:numPr>
        <w:tabs>
          <w:tab w:val="left" w:pos="2340"/>
        </w:tabs>
        <w:ind w:left="2283" w:hanging="1080"/>
        <w:jc w:val="both"/>
        <w:rPr>
          <w:sz w:val="24"/>
          <w:szCs w:val="24"/>
          <w:lang w:val="en-US" w:eastAsia="zh-CN"/>
        </w:rPr>
      </w:pPr>
    </w:p>
    <w:p w:rsidR="004F3DC3" w:rsidRPr="00C860F5" w:rsidRDefault="004F3DC3" w:rsidP="004F3DC3">
      <w:pPr>
        <w:pStyle w:val="Normalnumber"/>
        <w:numPr>
          <w:ilvl w:val="0"/>
          <w:numId w:val="0"/>
        </w:numPr>
        <w:tabs>
          <w:tab w:val="left" w:pos="2340"/>
        </w:tabs>
        <w:ind w:left="2283" w:hanging="1080"/>
        <w:jc w:val="both"/>
        <w:rPr>
          <w:sz w:val="24"/>
          <w:szCs w:val="24"/>
          <w:lang w:val="en-US" w:eastAsia="zh-CN"/>
        </w:rPr>
      </w:pPr>
    </w:p>
    <w:p w:rsidR="004F3DC3" w:rsidRPr="00C860F5" w:rsidRDefault="004F3DC3" w:rsidP="004F3DC3">
      <w:pPr>
        <w:pStyle w:val="Normalnumber"/>
        <w:numPr>
          <w:ilvl w:val="0"/>
          <w:numId w:val="0"/>
        </w:numPr>
        <w:tabs>
          <w:tab w:val="left" w:pos="2340"/>
        </w:tabs>
        <w:ind w:left="2283" w:hanging="1080"/>
        <w:jc w:val="both"/>
        <w:rPr>
          <w:sz w:val="24"/>
          <w:szCs w:val="24"/>
          <w:lang w:val="en-US" w:eastAsia="zh-CN"/>
        </w:rPr>
      </w:pPr>
    </w:p>
    <w:p w:rsidR="00F935A6" w:rsidRPr="004F3DC3" w:rsidRDefault="00F935A6" w:rsidP="004F3DC3">
      <w:bookmarkStart w:id="0" w:name="_GoBack"/>
      <w:bookmarkEnd w:id="0"/>
    </w:p>
    <w:sectPr w:rsidR="00F935A6" w:rsidRPr="004F3DC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6152" w:rsidRDefault="00BA6152" w:rsidP="006C58BB">
      <w:pPr>
        <w:spacing w:after="0" w:line="240" w:lineRule="auto"/>
      </w:pPr>
      <w:r>
        <w:separator/>
      </w:r>
    </w:p>
  </w:endnote>
  <w:endnote w:type="continuationSeparator" w:id="0">
    <w:p w:rsidR="00BA6152" w:rsidRDefault="00BA6152" w:rsidP="006C58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6152" w:rsidRDefault="00BA6152" w:rsidP="006C58BB">
      <w:pPr>
        <w:spacing w:after="0" w:line="240" w:lineRule="auto"/>
      </w:pPr>
      <w:r>
        <w:separator/>
      </w:r>
    </w:p>
  </w:footnote>
  <w:footnote w:type="continuationSeparator" w:id="0">
    <w:p w:rsidR="00BA6152" w:rsidRDefault="00BA6152" w:rsidP="006C58BB">
      <w:pPr>
        <w:spacing w:after="0" w:line="240" w:lineRule="auto"/>
      </w:pPr>
      <w:r>
        <w:continuationSeparator/>
      </w:r>
    </w:p>
  </w:footnote>
  <w:footnote w:id="1">
    <w:p w:rsidR="004F3DC3" w:rsidRPr="00A27BF1" w:rsidRDefault="004F3DC3" w:rsidP="004F3DC3">
      <w:pPr>
        <w:pStyle w:val="FootnoteText"/>
        <w:spacing w:after="40" w:line="240" w:lineRule="auto"/>
        <w:ind w:left="1200" w:firstLine="0"/>
        <w:rPr>
          <w:spacing w:val="0"/>
          <w:w w:val="100"/>
          <w:kern w:val="0"/>
          <w:sz w:val="20"/>
          <w:lang w:eastAsia="zh-CN"/>
        </w:rPr>
      </w:pPr>
      <w:r w:rsidRPr="00A27BF1">
        <w:rPr>
          <w:rStyle w:val="FootnoteReference"/>
          <w:spacing w:val="0"/>
          <w:w w:val="100"/>
          <w:kern w:val="0"/>
        </w:rPr>
        <w:t>1</w:t>
      </w:r>
      <w:r w:rsidRPr="00A27BF1">
        <w:rPr>
          <w:spacing w:val="0"/>
          <w:w w:val="100"/>
          <w:kern w:val="0"/>
          <w:sz w:val="20"/>
        </w:rPr>
        <w:t xml:space="preserve"> </w:t>
      </w:r>
      <w:r w:rsidRPr="00A27BF1">
        <w:rPr>
          <w:spacing w:val="0"/>
          <w:w w:val="100"/>
          <w:kern w:val="0"/>
          <w:sz w:val="20"/>
          <w:lang w:val="en-US"/>
        </w:rPr>
        <w:t>UNEP/FAO/RC/COP.9/6/Add.1</w:t>
      </w:r>
      <w:r w:rsidRPr="00A27BF1">
        <w:rPr>
          <w:rFonts w:hint="eastAsia"/>
          <w:spacing w:val="0"/>
          <w:w w:val="100"/>
          <w:kern w:val="0"/>
          <w:sz w:val="20"/>
          <w:lang w:val="en-US" w:eastAsia="zh-C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EF7A42"/>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15:restartNumberingAfterBreak="0">
    <w:nsid w:val="52A66A9D"/>
    <w:multiLevelType w:val="multilevel"/>
    <w:tmpl w:val="C706BE06"/>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 w15:restartNumberingAfterBreak="0">
    <w:nsid w:val="56CF0138"/>
    <w:multiLevelType w:val="hybridMultilevel"/>
    <w:tmpl w:val="F26CE2F6"/>
    <w:lvl w:ilvl="0" w:tplc="B2AE361A">
      <w:start w:val="1"/>
      <w:numFmt w:val="decimal"/>
      <w:lvlText w:val="%1."/>
      <w:lvlJc w:val="left"/>
      <w:pPr>
        <w:ind w:left="2231" w:hanging="36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3" w15:restartNumberingAfterBreak="0">
    <w:nsid w:val="6F7C4406"/>
    <w:multiLevelType w:val="hybridMultilevel"/>
    <w:tmpl w:val="E7C07860"/>
    <w:lvl w:ilvl="0" w:tplc="9566D8DE">
      <w:start w:val="1"/>
      <w:numFmt w:val="decimal"/>
      <w:lvlText w:val="%1."/>
      <w:lvlJc w:val="left"/>
      <w:pPr>
        <w:tabs>
          <w:tab w:val="num" w:pos="3215"/>
        </w:tabs>
        <w:ind w:left="3215" w:hanging="360"/>
      </w:pPr>
      <w:rPr>
        <w:i w:val="0"/>
      </w:rPr>
    </w:lvl>
    <w:lvl w:ilvl="1" w:tplc="04090019">
      <w:start w:val="1"/>
      <w:numFmt w:val="lowerLetter"/>
      <w:lvlText w:val="%2."/>
      <w:lvlJc w:val="left"/>
      <w:pPr>
        <w:tabs>
          <w:tab w:val="num" w:pos="3935"/>
        </w:tabs>
        <w:ind w:left="3935" w:hanging="360"/>
      </w:pPr>
    </w:lvl>
    <w:lvl w:ilvl="2" w:tplc="0409001B" w:tentative="1">
      <w:start w:val="1"/>
      <w:numFmt w:val="lowerRoman"/>
      <w:lvlText w:val="%3."/>
      <w:lvlJc w:val="right"/>
      <w:pPr>
        <w:tabs>
          <w:tab w:val="num" w:pos="4655"/>
        </w:tabs>
        <w:ind w:left="4655" w:hanging="180"/>
      </w:pPr>
    </w:lvl>
    <w:lvl w:ilvl="3" w:tplc="0409000F" w:tentative="1">
      <w:start w:val="1"/>
      <w:numFmt w:val="decimal"/>
      <w:lvlText w:val="%4."/>
      <w:lvlJc w:val="left"/>
      <w:pPr>
        <w:tabs>
          <w:tab w:val="num" w:pos="5375"/>
        </w:tabs>
        <w:ind w:left="5375" w:hanging="360"/>
      </w:pPr>
    </w:lvl>
    <w:lvl w:ilvl="4" w:tplc="04090019" w:tentative="1">
      <w:start w:val="1"/>
      <w:numFmt w:val="lowerLetter"/>
      <w:lvlText w:val="%5."/>
      <w:lvlJc w:val="left"/>
      <w:pPr>
        <w:tabs>
          <w:tab w:val="num" w:pos="6095"/>
        </w:tabs>
        <w:ind w:left="6095" w:hanging="360"/>
      </w:pPr>
    </w:lvl>
    <w:lvl w:ilvl="5" w:tplc="0409001B" w:tentative="1">
      <w:start w:val="1"/>
      <w:numFmt w:val="lowerRoman"/>
      <w:lvlText w:val="%6."/>
      <w:lvlJc w:val="right"/>
      <w:pPr>
        <w:tabs>
          <w:tab w:val="num" w:pos="6815"/>
        </w:tabs>
        <w:ind w:left="6815" w:hanging="180"/>
      </w:pPr>
    </w:lvl>
    <w:lvl w:ilvl="6" w:tplc="0409000F" w:tentative="1">
      <w:start w:val="1"/>
      <w:numFmt w:val="decimal"/>
      <w:lvlText w:val="%7."/>
      <w:lvlJc w:val="left"/>
      <w:pPr>
        <w:tabs>
          <w:tab w:val="num" w:pos="7535"/>
        </w:tabs>
        <w:ind w:left="7535" w:hanging="360"/>
      </w:pPr>
    </w:lvl>
    <w:lvl w:ilvl="7" w:tplc="04090019" w:tentative="1">
      <w:start w:val="1"/>
      <w:numFmt w:val="lowerLetter"/>
      <w:lvlText w:val="%8."/>
      <w:lvlJc w:val="left"/>
      <w:pPr>
        <w:tabs>
          <w:tab w:val="num" w:pos="8255"/>
        </w:tabs>
        <w:ind w:left="8255" w:hanging="360"/>
      </w:pPr>
    </w:lvl>
    <w:lvl w:ilvl="8" w:tplc="0409001B" w:tentative="1">
      <w:start w:val="1"/>
      <w:numFmt w:val="lowerRoman"/>
      <w:lvlText w:val="%9."/>
      <w:lvlJc w:val="right"/>
      <w:pPr>
        <w:tabs>
          <w:tab w:val="num" w:pos="8975"/>
        </w:tabs>
        <w:ind w:left="8975" w:hanging="180"/>
      </w:pPr>
    </w:lvl>
  </w:abstractNum>
  <w:num w:numId="1">
    <w:abstractNumId w:val="1"/>
  </w:num>
  <w:num w:numId="2">
    <w:abstractNumId w:val="1"/>
    <w:lvlOverride w:ilvl="0">
      <w:lvl w:ilvl="0">
        <w:start w:val="1"/>
        <w:numFmt w:val="decimal"/>
        <w:pStyle w:val="Normalnumber"/>
        <w:lvlText w:val="%1."/>
        <w:lvlJc w:val="left"/>
        <w:pPr>
          <w:tabs>
            <w:tab w:val="num" w:pos="1134"/>
          </w:tabs>
          <w:ind w:left="1247" w:firstLine="0"/>
        </w:pPr>
        <w:rPr>
          <w:rFonts w:hint="default"/>
          <w:sz w:val="24"/>
          <w:szCs w:val="24"/>
        </w:rPr>
      </w:lvl>
    </w:lvlOverride>
  </w:num>
  <w:num w:numId="3">
    <w:abstractNumId w:val="0"/>
    <w:lvlOverride w:ilvl="1">
      <w:lvl w:ilvl="1">
        <w:start w:val="1"/>
        <w:numFmt w:val="lowerLetter"/>
        <w:lvlText w:val="(%2)"/>
        <w:lvlJc w:val="left"/>
        <w:pPr>
          <w:tabs>
            <w:tab w:val="num" w:pos="567"/>
          </w:tabs>
          <w:ind w:left="1247" w:firstLine="567"/>
        </w:pPr>
        <w:rPr>
          <w:rFonts w:hint="default"/>
        </w:rPr>
      </w:lvl>
    </w:lvlOverride>
  </w:num>
  <w:num w:numId="4">
    <w:abstractNumId w:val="3"/>
    <w:lvlOverride w:ilvl="0">
      <w:lvl w:ilvl="0" w:tplc="9566D8DE">
        <w:start w:val="1"/>
        <w:numFmt w:val="decimal"/>
        <w:lvlText w:val="%1."/>
        <w:lvlJc w:val="left"/>
        <w:pPr>
          <w:tabs>
            <w:tab w:val="num" w:pos="3215"/>
          </w:tabs>
          <w:ind w:left="3215" w:hanging="360"/>
        </w:pPr>
        <w:rPr>
          <w:i w:val="0"/>
        </w:rPr>
      </w:lvl>
    </w:lvlOverride>
  </w:num>
  <w:num w:numId="5">
    <w:abstractNumId w:val="1"/>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chineseCounting"/>
        <w:lvlText w:val="（%3）"/>
        <w:lvlJc w:val="left"/>
        <w:pPr>
          <w:tabs>
            <w:tab w:val="num" w:pos="1336"/>
          </w:tabs>
          <w:ind w:left="3717" w:hanging="567"/>
        </w:pPr>
        <w:rPr>
          <w:rFonts w:hint="default"/>
          <w:sz w:val="20"/>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6">
    <w:abstractNumId w:val="1"/>
    <w:lvlOverride w:ilvl="0">
      <w:startOverride w:val="1"/>
      <w:lvl w:ilvl="0">
        <w:start w:val="1"/>
        <w:numFmt w:val="decimal"/>
        <w:pStyle w:val="Normalnumber"/>
        <w:lvlText w:val="%1."/>
        <w:lvlJc w:val="left"/>
        <w:pPr>
          <w:tabs>
            <w:tab w:val="num" w:pos="567"/>
          </w:tabs>
          <w:ind w:left="1247"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Letter"/>
        <w:lvlText w:val="%5."/>
        <w:lvlJc w:val="left"/>
        <w:pPr>
          <w:tabs>
            <w:tab w:val="num" w:pos="6548"/>
          </w:tabs>
          <w:ind w:left="6548" w:hanging="360"/>
        </w:pPr>
        <w:rPr>
          <w:rFonts w:hint="default"/>
        </w:rPr>
      </w:lvl>
    </w:lvlOverride>
    <w:lvlOverride w:ilvl="5">
      <w:startOverride w:val="1"/>
      <w:lvl w:ilvl="5">
        <w:start w:val="1"/>
        <w:numFmt w:val="lowerRoman"/>
        <w:lvlText w:val="%6."/>
        <w:lvlJc w:val="right"/>
        <w:pPr>
          <w:tabs>
            <w:tab w:val="num" w:pos="7268"/>
          </w:tabs>
          <w:ind w:left="7268" w:hanging="180"/>
        </w:pPr>
        <w:rPr>
          <w:rFonts w:hint="default"/>
        </w:rPr>
      </w:lvl>
    </w:lvlOverride>
    <w:lvlOverride w:ilvl="6">
      <w:startOverride w:val="1"/>
      <w:lvl w:ilvl="6">
        <w:start w:val="1"/>
        <w:numFmt w:val="decimal"/>
        <w:lvlText w:val="%7."/>
        <w:lvlJc w:val="left"/>
        <w:pPr>
          <w:tabs>
            <w:tab w:val="num" w:pos="7988"/>
          </w:tabs>
          <w:ind w:left="7988" w:hanging="360"/>
        </w:pPr>
        <w:rPr>
          <w:rFonts w:hint="default"/>
        </w:rPr>
      </w:lvl>
    </w:lvlOverride>
    <w:lvlOverride w:ilvl="7">
      <w:startOverride w:val="1"/>
      <w:lvl w:ilvl="7">
        <w:start w:val="1"/>
        <w:numFmt w:val="lowerLetter"/>
        <w:lvlText w:val="%8."/>
        <w:lvlJc w:val="left"/>
        <w:pPr>
          <w:tabs>
            <w:tab w:val="num" w:pos="8708"/>
          </w:tabs>
          <w:ind w:left="8708" w:hanging="360"/>
        </w:pPr>
        <w:rPr>
          <w:rFonts w:hint="default"/>
        </w:rPr>
      </w:lvl>
    </w:lvlOverride>
    <w:lvlOverride w:ilvl="8">
      <w:startOverride w:val="1"/>
      <w:lvl w:ilvl="8">
        <w:start w:val="1"/>
        <w:numFmt w:val="lowerRoman"/>
        <w:lvlText w:val="%9."/>
        <w:lvlJc w:val="right"/>
        <w:pPr>
          <w:tabs>
            <w:tab w:val="num" w:pos="9428"/>
          </w:tabs>
          <w:ind w:left="9428" w:hanging="180"/>
        </w:pPr>
        <w:rPr>
          <w:rFonts w:hint="default"/>
        </w:rPr>
      </w:lvl>
    </w:lvlOverride>
  </w:num>
  <w:num w:numId="7">
    <w:abstractNumId w:val="1"/>
    <w:lvlOverride w:ilvl="0">
      <w:startOverride w:val="1"/>
      <w:lvl w:ilvl="0">
        <w:start w:val="1"/>
        <w:numFmt w:val="decimal"/>
        <w:pStyle w:val="Normalnumber"/>
        <w:lvlText w:val="%1."/>
        <w:lvlJc w:val="left"/>
        <w:pPr>
          <w:tabs>
            <w:tab w:val="num" w:pos="567"/>
          </w:tabs>
          <w:ind w:left="1247"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Letter"/>
        <w:lvlText w:val="%5."/>
        <w:lvlJc w:val="left"/>
        <w:pPr>
          <w:tabs>
            <w:tab w:val="num" w:pos="6548"/>
          </w:tabs>
          <w:ind w:left="6548" w:hanging="360"/>
        </w:pPr>
        <w:rPr>
          <w:rFonts w:hint="default"/>
        </w:rPr>
      </w:lvl>
    </w:lvlOverride>
    <w:lvlOverride w:ilvl="5">
      <w:startOverride w:val="1"/>
      <w:lvl w:ilvl="5">
        <w:start w:val="1"/>
        <w:numFmt w:val="lowerRoman"/>
        <w:lvlText w:val="%6."/>
        <w:lvlJc w:val="right"/>
        <w:pPr>
          <w:tabs>
            <w:tab w:val="num" w:pos="7268"/>
          </w:tabs>
          <w:ind w:left="7268" w:hanging="180"/>
        </w:pPr>
        <w:rPr>
          <w:rFonts w:hint="default"/>
        </w:rPr>
      </w:lvl>
    </w:lvlOverride>
    <w:lvlOverride w:ilvl="6">
      <w:startOverride w:val="1"/>
      <w:lvl w:ilvl="6">
        <w:start w:val="1"/>
        <w:numFmt w:val="decimal"/>
        <w:lvlText w:val="%7."/>
        <w:lvlJc w:val="left"/>
        <w:pPr>
          <w:tabs>
            <w:tab w:val="num" w:pos="7988"/>
          </w:tabs>
          <w:ind w:left="7988" w:hanging="360"/>
        </w:pPr>
        <w:rPr>
          <w:rFonts w:hint="default"/>
        </w:rPr>
      </w:lvl>
    </w:lvlOverride>
    <w:lvlOverride w:ilvl="7">
      <w:startOverride w:val="1"/>
      <w:lvl w:ilvl="7">
        <w:start w:val="1"/>
        <w:numFmt w:val="lowerLetter"/>
        <w:lvlText w:val="%8."/>
        <w:lvlJc w:val="left"/>
        <w:pPr>
          <w:tabs>
            <w:tab w:val="num" w:pos="8708"/>
          </w:tabs>
          <w:ind w:left="8708" w:hanging="360"/>
        </w:pPr>
        <w:rPr>
          <w:rFonts w:hint="default"/>
        </w:rPr>
      </w:lvl>
    </w:lvlOverride>
    <w:lvlOverride w:ilvl="8">
      <w:startOverride w:val="1"/>
      <w:lvl w:ilvl="8">
        <w:start w:val="1"/>
        <w:numFmt w:val="lowerRoman"/>
        <w:lvlText w:val="%9."/>
        <w:lvlJc w:val="right"/>
        <w:pPr>
          <w:tabs>
            <w:tab w:val="num" w:pos="9428"/>
          </w:tabs>
          <w:ind w:left="9428" w:hanging="180"/>
        </w:pPr>
        <w:rPr>
          <w:rFonts w:hint="default"/>
        </w:rPr>
      </w:lvl>
    </w:lvlOverride>
  </w:num>
  <w:num w:numId="8">
    <w:abstractNumId w:val="1"/>
    <w:lvlOverride w:ilvl="0">
      <w:startOverride w:val="1"/>
      <w:lvl w:ilvl="0">
        <w:start w:val="1"/>
        <w:numFmt w:val="decimal"/>
        <w:pStyle w:val="Normalnumber"/>
        <w:lvlText w:val="%1."/>
        <w:lvlJc w:val="left"/>
        <w:pPr>
          <w:tabs>
            <w:tab w:val="num" w:pos="567"/>
          </w:tabs>
          <w:ind w:left="1247"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Letter"/>
        <w:lvlText w:val="%5."/>
        <w:lvlJc w:val="left"/>
        <w:pPr>
          <w:tabs>
            <w:tab w:val="num" w:pos="6548"/>
          </w:tabs>
          <w:ind w:left="6548" w:hanging="360"/>
        </w:pPr>
        <w:rPr>
          <w:rFonts w:hint="default"/>
        </w:rPr>
      </w:lvl>
    </w:lvlOverride>
    <w:lvlOverride w:ilvl="5">
      <w:startOverride w:val="1"/>
      <w:lvl w:ilvl="5">
        <w:start w:val="1"/>
        <w:numFmt w:val="lowerRoman"/>
        <w:lvlText w:val="%6."/>
        <w:lvlJc w:val="right"/>
        <w:pPr>
          <w:tabs>
            <w:tab w:val="num" w:pos="7268"/>
          </w:tabs>
          <w:ind w:left="7268" w:hanging="180"/>
        </w:pPr>
        <w:rPr>
          <w:rFonts w:hint="default"/>
        </w:rPr>
      </w:lvl>
    </w:lvlOverride>
    <w:lvlOverride w:ilvl="6">
      <w:startOverride w:val="1"/>
      <w:lvl w:ilvl="6">
        <w:start w:val="1"/>
        <w:numFmt w:val="decimal"/>
        <w:lvlText w:val="%7."/>
        <w:lvlJc w:val="left"/>
        <w:pPr>
          <w:tabs>
            <w:tab w:val="num" w:pos="7988"/>
          </w:tabs>
          <w:ind w:left="7988" w:hanging="360"/>
        </w:pPr>
        <w:rPr>
          <w:rFonts w:hint="default"/>
        </w:rPr>
      </w:lvl>
    </w:lvlOverride>
    <w:lvlOverride w:ilvl="7">
      <w:startOverride w:val="1"/>
      <w:lvl w:ilvl="7">
        <w:start w:val="1"/>
        <w:numFmt w:val="lowerLetter"/>
        <w:lvlText w:val="%8."/>
        <w:lvlJc w:val="left"/>
        <w:pPr>
          <w:tabs>
            <w:tab w:val="num" w:pos="8708"/>
          </w:tabs>
          <w:ind w:left="8708" w:hanging="360"/>
        </w:pPr>
        <w:rPr>
          <w:rFonts w:hint="default"/>
        </w:rPr>
      </w:lvl>
    </w:lvlOverride>
    <w:lvlOverride w:ilvl="8">
      <w:startOverride w:val="1"/>
      <w:lvl w:ilvl="8">
        <w:start w:val="1"/>
        <w:numFmt w:val="lowerRoman"/>
        <w:lvlText w:val="%9."/>
        <w:lvlJc w:val="right"/>
        <w:pPr>
          <w:tabs>
            <w:tab w:val="num" w:pos="9428"/>
          </w:tabs>
          <w:ind w:left="9428" w:hanging="180"/>
        </w:pPr>
        <w:rPr>
          <w:rFonts w:hint="default"/>
        </w:rPr>
      </w:lvl>
    </w:lvlOverride>
  </w:num>
  <w:num w:numId="9">
    <w:abstractNumId w:val="1"/>
    <w:lvlOverride w:ilvl="0">
      <w:startOverride w:val="1"/>
      <w:lvl w:ilvl="0">
        <w:start w:val="1"/>
        <w:numFmt w:val="decimal"/>
        <w:pStyle w:val="Normalnumber"/>
        <w:lvlText w:val="%1."/>
        <w:lvlJc w:val="left"/>
        <w:pPr>
          <w:tabs>
            <w:tab w:val="num" w:pos="567"/>
          </w:tabs>
          <w:ind w:left="1247" w:firstLine="0"/>
        </w:pPr>
        <w:rPr>
          <w:rFonts w:hint="default"/>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86D"/>
    <w:rsid w:val="0033786D"/>
    <w:rsid w:val="004F3DC3"/>
    <w:rsid w:val="006C58BB"/>
    <w:rsid w:val="009957B9"/>
    <w:rsid w:val="00BA6152"/>
    <w:rsid w:val="00E4523E"/>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4899D"/>
  <w15:chartTrackingRefBased/>
  <w15:docId w15:val="{4A045482-7CE6-4BD6-B442-8AE5605E5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3786D"/>
    <w:pPr>
      <w:tabs>
        <w:tab w:val="left" w:pos="1247"/>
        <w:tab w:val="left" w:pos="1814"/>
        <w:tab w:val="left" w:pos="2381"/>
        <w:tab w:val="left" w:pos="2948"/>
        <w:tab w:val="left" w:pos="3515"/>
      </w:tabs>
      <w:spacing w:after="120" w:line="280" w:lineRule="exact"/>
      <w:jc w:val="both"/>
    </w:pPr>
    <w:rPr>
      <w:rFonts w:ascii="Times New Roman" w:eastAsia="SimSun" w:hAnsi="Times New Roman" w:cs="Times New Roman"/>
      <w:sz w:val="21"/>
      <w:szCs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qFormat/>
    <w:rsid w:val="0033786D"/>
    <w:pPr>
      <w:tabs>
        <w:tab w:val="left" w:pos="1247"/>
        <w:tab w:val="left" w:pos="1814"/>
        <w:tab w:val="left" w:pos="2381"/>
        <w:tab w:val="left" w:pos="2948"/>
        <w:tab w:val="left" w:pos="3515"/>
        <w:tab w:val="left" w:pos="4082"/>
      </w:tabs>
      <w:spacing w:after="0" w:line="240" w:lineRule="auto"/>
    </w:pPr>
    <w:rPr>
      <w:rFonts w:ascii="Times New Roman" w:eastAsia="SimSun" w:hAnsi="Times New Roman" w:cs="Times New Roman"/>
      <w:sz w:val="20"/>
      <w:szCs w:val="20"/>
      <w:lang w:val="en-GB" w:eastAsia="en-GB"/>
    </w:rPr>
  </w:style>
  <w:style w:type="numbering" w:customStyle="1" w:styleId="Normallist">
    <w:name w:val="Normal_list"/>
    <w:basedOn w:val="NoList"/>
    <w:rsid w:val="0033786D"/>
    <w:pPr>
      <w:numPr>
        <w:numId w:val="1"/>
      </w:numPr>
    </w:pPr>
  </w:style>
  <w:style w:type="paragraph" w:customStyle="1" w:styleId="NormalNonumber">
    <w:name w:val="Normal_No_number"/>
    <w:basedOn w:val="Normal"/>
    <w:link w:val="NormalNonumberChar"/>
    <w:qFormat/>
    <w:rsid w:val="0033786D"/>
    <w:pPr>
      <w:tabs>
        <w:tab w:val="left" w:pos="4082"/>
      </w:tabs>
      <w:spacing w:line="240" w:lineRule="auto"/>
      <w:ind w:left="1247"/>
      <w:jc w:val="left"/>
    </w:pPr>
    <w:rPr>
      <w:sz w:val="20"/>
      <w:szCs w:val="20"/>
      <w:lang w:val="en-GB" w:eastAsia="en-GB"/>
    </w:rPr>
  </w:style>
  <w:style w:type="paragraph" w:customStyle="1" w:styleId="Normalnumber">
    <w:name w:val="Normal_number"/>
    <w:basedOn w:val="Normal"/>
    <w:link w:val="NormalnumberChar"/>
    <w:qFormat/>
    <w:rsid w:val="0033786D"/>
    <w:pPr>
      <w:numPr>
        <w:numId w:val="1"/>
      </w:numPr>
      <w:tabs>
        <w:tab w:val="clear" w:pos="1247"/>
        <w:tab w:val="clear" w:pos="1814"/>
        <w:tab w:val="clear" w:pos="2381"/>
        <w:tab w:val="clear" w:pos="2948"/>
        <w:tab w:val="clear" w:pos="3515"/>
        <w:tab w:val="left" w:pos="624"/>
      </w:tabs>
      <w:spacing w:line="240" w:lineRule="auto"/>
      <w:jc w:val="left"/>
    </w:pPr>
    <w:rPr>
      <w:sz w:val="20"/>
      <w:szCs w:val="20"/>
      <w:lang w:val="en-GB" w:eastAsia="en-GB"/>
    </w:rPr>
  </w:style>
  <w:style w:type="character" w:customStyle="1" w:styleId="Normal-poolChar">
    <w:name w:val="Normal-pool Char"/>
    <w:link w:val="Normal-pool"/>
    <w:rsid w:val="0033786D"/>
    <w:rPr>
      <w:rFonts w:ascii="Times New Roman" w:eastAsia="SimSun" w:hAnsi="Times New Roman" w:cs="Times New Roman"/>
      <w:sz w:val="20"/>
      <w:szCs w:val="20"/>
      <w:lang w:val="en-GB" w:eastAsia="en-GB"/>
    </w:rPr>
  </w:style>
  <w:style w:type="character" w:customStyle="1" w:styleId="NormalnumberChar">
    <w:name w:val="Normal_number Char"/>
    <w:link w:val="Normalnumber"/>
    <w:rsid w:val="0033786D"/>
    <w:rPr>
      <w:rFonts w:ascii="Times New Roman" w:eastAsia="SimSun" w:hAnsi="Times New Roman" w:cs="Times New Roman"/>
      <w:sz w:val="20"/>
      <w:szCs w:val="20"/>
      <w:lang w:val="en-GB" w:eastAsia="en-GB"/>
    </w:rPr>
  </w:style>
  <w:style w:type="character" w:customStyle="1" w:styleId="NormalNonumberChar">
    <w:name w:val="Normal_No_number Char"/>
    <w:link w:val="NormalNonumber"/>
    <w:locked/>
    <w:rsid w:val="0033786D"/>
    <w:rPr>
      <w:rFonts w:ascii="Times New Roman" w:eastAsia="SimSun" w:hAnsi="Times New Roman" w:cs="Times New Roman"/>
      <w:sz w:val="20"/>
      <w:szCs w:val="20"/>
      <w:lang w:val="en-GB" w:eastAsia="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w:basedOn w:val="DefaultParagraphFont"/>
    <w:link w:val="BVIfnrCharCharCharChar"/>
    <w:uiPriority w:val="99"/>
    <w:qFormat/>
    <w:rsid w:val="006C58BB"/>
    <w:rPr>
      <w:rFonts w:ascii="Times New Roman" w:eastAsia="SimSun" w:hAnsi="Times New Roman"/>
      <w:color w:val="000000"/>
      <w:spacing w:val="-5"/>
      <w:w w:val="130"/>
      <w:position w:val="-4"/>
      <w:sz w:val="20"/>
      <w:szCs w:val="18"/>
      <w:vertAlign w:val="superscript"/>
    </w:rPr>
  </w:style>
  <w:style w:type="paragraph" w:styleId="FootnoteText">
    <w:name w:val="footnote text"/>
    <w:aliases w:val="Geneva 9,Font: Geneva 9,Boston 10,93,single space,Footnote Text Rail EIS,ft,Char,footnote3,Footnotes,Footnote ak,fn cafc,Footnotes Char Char,Footnote Text Char Char,fn Char Char,footnote text,footnote text Char Char Char Ch,DNV-FT,f,fn,Ch"/>
    <w:link w:val="FootnoteTextChar"/>
    <w:qFormat/>
    <w:rsid w:val="006C58BB"/>
    <w:pPr>
      <w:spacing w:before="20" w:after="0" w:line="210" w:lineRule="exact"/>
      <w:ind w:left="475" w:hanging="475"/>
    </w:pPr>
    <w:rPr>
      <w:rFonts w:ascii="Times New Roman" w:eastAsia="SimSun" w:hAnsi="Times New Roman" w:cs="Times New Roman"/>
      <w:noProof/>
      <w:spacing w:val="5"/>
      <w:w w:val="104"/>
      <w:kern w:val="14"/>
      <w:sz w:val="18"/>
      <w:szCs w:val="20"/>
      <w:lang w:val="en-GB" w:eastAsia="en-GB"/>
    </w:rPr>
  </w:style>
  <w:style w:type="character" w:customStyle="1" w:styleId="FootnoteTextChar">
    <w:name w:val="Footnote Text Char"/>
    <w:aliases w:val="Geneva 9 Char,Font: Geneva 9 Char,Boston 10 Char,93 Char,single space Char,Footnote Text Rail EIS Char,ft Char,Char Char,footnote3 Char,Footnotes Char,Footnote ak Char,fn cafc Char,Footnotes Char Char Char,Footnote Text Char Char Char"/>
    <w:basedOn w:val="DefaultParagraphFont"/>
    <w:link w:val="FootnoteText"/>
    <w:rsid w:val="006C58BB"/>
    <w:rPr>
      <w:rFonts w:ascii="Times New Roman" w:eastAsia="SimSun" w:hAnsi="Times New Roman" w:cs="Times New Roman"/>
      <w:noProof/>
      <w:spacing w:val="5"/>
      <w:w w:val="104"/>
      <w:kern w:val="14"/>
      <w:sz w:val="18"/>
      <w:szCs w:val="20"/>
      <w:lang w:val="en-GB" w:eastAsia="en-GB"/>
    </w:rPr>
  </w:style>
  <w:style w:type="paragraph" w:customStyle="1" w:styleId="BBTitle">
    <w:name w:val="BB_Title"/>
    <w:basedOn w:val="Normal"/>
    <w:link w:val="BBTitleChar"/>
    <w:rsid w:val="006C58BB"/>
    <w:pPr>
      <w:keepNext/>
      <w:keepLines/>
      <w:tabs>
        <w:tab w:val="left" w:pos="4082"/>
      </w:tabs>
      <w:suppressAutoHyphens/>
      <w:spacing w:before="320" w:after="240" w:line="240" w:lineRule="auto"/>
      <w:ind w:left="1247" w:right="567"/>
      <w:jc w:val="left"/>
    </w:pPr>
    <w:rPr>
      <w:b/>
      <w:sz w:val="28"/>
      <w:szCs w:val="28"/>
      <w:lang w:val="en-GB" w:eastAsia="en-GB"/>
    </w:rPr>
  </w:style>
  <w:style w:type="character" w:customStyle="1" w:styleId="BBTitleChar">
    <w:name w:val="BB_Title Char"/>
    <w:link w:val="BBTitle"/>
    <w:rsid w:val="006C58BB"/>
    <w:rPr>
      <w:rFonts w:ascii="Times New Roman" w:eastAsia="SimSun" w:hAnsi="Times New Roman" w:cs="Times New Roman"/>
      <w:b/>
      <w:sz w:val="28"/>
      <w:szCs w:val="28"/>
      <w:lang w:val="en-GB" w:eastAsia="en-GB"/>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iPriority w:val="99"/>
    <w:rsid w:val="006C58BB"/>
    <w:pPr>
      <w:tabs>
        <w:tab w:val="clear" w:pos="1247"/>
        <w:tab w:val="clear" w:pos="1814"/>
        <w:tab w:val="clear" w:pos="2381"/>
        <w:tab w:val="clear" w:pos="2948"/>
        <w:tab w:val="clear" w:pos="3515"/>
      </w:tabs>
      <w:spacing w:before="120" w:after="160" w:line="240" w:lineRule="exact"/>
    </w:pPr>
    <w:rPr>
      <w:rFonts w:cstheme="minorBidi"/>
      <w:color w:val="000000"/>
      <w:spacing w:val="-5"/>
      <w:w w:val="130"/>
      <w:position w:val="-4"/>
      <w:sz w:val="20"/>
      <w:szCs w:val="18"/>
      <w:vertAlign w:val="superscript"/>
    </w:rPr>
  </w:style>
  <w:style w:type="paragraph" w:styleId="ListParagraph">
    <w:name w:val="List Paragraph"/>
    <w:basedOn w:val="Normal"/>
    <w:uiPriority w:val="34"/>
    <w:qFormat/>
    <w:rsid w:val="009957B9"/>
    <w:pPr>
      <w:tabs>
        <w:tab w:val="clear" w:pos="1247"/>
        <w:tab w:val="clear" w:pos="1814"/>
        <w:tab w:val="clear" w:pos="2381"/>
        <w:tab w:val="clear" w:pos="2948"/>
        <w:tab w:val="clear" w:pos="3515"/>
      </w:tabs>
      <w:spacing w:after="160" w:line="259" w:lineRule="auto"/>
      <w:ind w:left="720"/>
      <w:contextualSpacing/>
      <w:jc w:val="left"/>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Words>
  <Characters>446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2019-11-27T20:48:00Z</dcterms:created>
  <dcterms:modified xsi:type="dcterms:W3CDTF">2019-11-27T20:48:00Z</dcterms:modified>
</cp:coreProperties>
</file>