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C68" w:rsidRPr="00C860F5" w:rsidRDefault="00101C68" w:rsidP="00101C68">
      <w:pPr>
        <w:tabs>
          <w:tab w:val="clear" w:pos="1247"/>
          <w:tab w:val="clear" w:pos="1814"/>
          <w:tab w:val="clear" w:pos="2381"/>
          <w:tab w:val="clear" w:pos="2948"/>
          <w:tab w:val="clear" w:pos="3515"/>
          <w:tab w:val="left" w:pos="624"/>
        </w:tabs>
        <w:spacing w:line="240" w:lineRule="auto"/>
        <w:ind w:left="1200"/>
        <w:jc w:val="left"/>
        <w:rPr>
          <w:rFonts w:eastAsia="SimHei"/>
          <w:b/>
          <w:bCs/>
          <w:sz w:val="32"/>
        </w:rPr>
      </w:pPr>
      <w:r w:rsidRPr="00C860F5">
        <w:rPr>
          <w:rFonts w:eastAsia="SimHei"/>
          <w:b/>
          <w:bCs/>
          <w:sz w:val="32"/>
        </w:rPr>
        <w:t>RC-9/8</w:t>
      </w:r>
      <w:r w:rsidRPr="00C860F5">
        <w:rPr>
          <w:rFonts w:eastAsia="SimHei"/>
          <w:b/>
          <w:bCs/>
          <w:sz w:val="32"/>
        </w:rPr>
        <w:t>：技术援助</w:t>
      </w:r>
    </w:p>
    <w:p w:rsidR="00101C68" w:rsidRPr="00A27BF1" w:rsidRDefault="00101C68" w:rsidP="00101C68">
      <w:pPr>
        <w:pStyle w:val="NormalNonumber"/>
        <w:ind w:left="1200" w:firstLine="480"/>
        <w:jc w:val="both"/>
        <w:rPr>
          <w:rFonts w:ascii="KaiTi" w:eastAsia="KaiTi" w:hAnsi="KaiTi"/>
          <w:sz w:val="24"/>
          <w:szCs w:val="24"/>
          <w:lang w:val="zh-CN" w:eastAsia="zh-CN"/>
        </w:rPr>
      </w:pPr>
      <w:r w:rsidRPr="00A27BF1">
        <w:rPr>
          <w:rFonts w:ascii="KaiTi" w:eastAsia="KaiTi" w:hAnsi="KaiTi"/>
          <w:sz w:val="24"/>
          <w:szCs w:val="24"/>
          <w:lang w:val="zh-CN" w:eastAsia="zh-CN"/>
        </w:rPr>
        <w:t>缔约方大会</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表示注意到</w:t>
      </w:r>
      <w:r w:rsidRPr="00A27BF1">
        <w:rPr>
          <w:rFonts w:ascii="SimSun" w:hAnsi="SimSun" w:hint="eastAsia"/>
          <w:sz w:val="24"/>
          <w:szCs w:val="24"/>
          <w:lang w:val="zh-CN" w:eastAsia="zh-CN"/>
        </w:rPr>
        <w:t>关于</w:t>
      </w:r>
      <w:r w:rsidRPr="00A27BF1">
        <w:rPr>
          <w:sz w:val="24"/>
          <w:szCs w:val="24"/>
          <w:lang w:val="zh-CN" w:eastAsia="zh-CN"/>
        </w:rPr>
        <w:t>2018-2021</w:t>
      </w:r>
      <w:r w:rsidRPr="00A27BF1">
        <w:rPr>
          <w:sz w:val="24"/>
          <w:szCs w:val="24"/>
          <w:lang w:val="zh-CN" w:eastAsia="zh-CN"/>
        </w:rPr>
        <w:t>年期间技术援助计划</w:t>
      </w:r>
      <w:r w:rsidRPr="00A27BF1">
        <w:rPr>
          <w:rFonts w:hint="eastAsia"/>
          <w:sz w:val="24"/>
          <w:szCs w:val="24"/>
          <w:lang w:val="zh-CN" w:eastAsia="zh-CN"/>
        </w:rPr>
        <w:t>在</w:t>
      </w:r>
      <w:r w:rsidRPr="00A27BF1">
        <w:rPr>
          <w:rFonts w:hint="eastAsia"/>
          <w:sz w:val="24"/>
          <w:szCs w:val="24"/>
          <w:lang w:val="zh-CN" w:eastAsia="zh-CN"/>
        </w:rPr>
        <w:t>2018</w:t>
      </w:r>
      <w:r w:rsidRPr="00A27BF1">
        <w:rPr>
          <w:sz w:val="24"/>
          <w:szCs w:val="24"/>
          <w:lang w:val="zh-CN" w:eastAsia="zh-CN"/>
        </w:rPr>
        <w:t>-</w:t>
      </w:r>
      <w:r w:rsidRPr="00A27BF1">
        <w:rPr>
          <w:rFonts w:hint="eastAsia"/>
          <w:sz w:val="24"/>
          <w:szCs w:val="24"/>
          <w:lang w:val="zh-CN" w:eastAsia="zh-CN"/>
        </w:rPr>
        <w:t>2019</w:t>
      </w:r>
      <w:r w:rsidRPr="00A27BF1">
        <w:rPr>
          <w:rFonts w:hint="eastAsia"/>
          <w:sz w:val="24"/>
          <w:szCs w:val="24"/>
          <w:lang w:val="zh-CN" w:eastAsia="zh-CN"/>
        </w:rPr>
        <w:t>两年期的</w:t>
      </w:r>
      <w:r w:rsidRPr="00A27BF1">
        <w:rPr>
          <w:sz w:val="24"/>
          <w:szCs w:val="24"/>
          <w:lang w:val="zh-CN" w:eastAsia="zh-CN"/>
        </w:rPr>
        <w:t>执行情况报告</w:t>
      </w:r>
      <w:r w:rsidRPr="00A27BF1">
        <w:rPr>
          <w:rStyle w:val="FootnoteReference"/>
          <w:sz w:val="24"/>
          <w:szCs w:val="24"/>
          <w:lang w:val="zh-CN" w:eastAsia="zh-CN"/>
        </w:rPr>
        <w:footnoteReference w:customMarkFollows="1" w:id="1"/>
        <w:t>1</w:t>
      </w:r>
      <w:r w:rsidRPr="00A27BF1">
        <w:rPr>
          <w:rFonts w:hint="eastAsia"/>
          <w:sz w:val="24"/>
          <w:szCs w:val="24"/>
          <w:lang w:val="zh-CN" w:eastAsia="zh-CN"/>
        </w:rPr>
        <w:t>以及开展的监测和评价工作</w:t>
      </w:r>
      <w:r w:rsidRPr="00A27BF1">
        <w:rPr>
          <w:sz w:val="24"/>
          <w:szCs w:val="24"/>
          <w:lang w:val="zh-CN" w:eastAsia="zh-CN"/>
        </w:rPr>
        <w:t>；</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邀请</w:t>
      </w:r>
      <w:r w:rsidRPr="00A27BF1">
        <w:rPr>
          <w:sz w:val="24"/>
          <w:szCs w:val="24"/>
          <w:lang w:val="zh-CN" w:eastAsia="zh-CN"/>
        </w:rPr>
        <w:t>发展中国家缔约方和经济转型国家缔约方根据《</w:t>
      </w:r>
      <w:r w:rsidRPr="00A27BF1">
        <w:rPr>
          <w:rFonts w:hint="eastAsia"/>
          <w:sz w:val="24"/>
          <w:szCs w:val="24"/>
          <w:lang w:val="zh-CN" w:eastAsia="zh-CN"/>
        </w:rPr>
        <w:t>关于在国际贸易中对某些危险化学品和农药采用事先知情同意程序的鹿特丹公约</w:t>
      </w:r>
      <w:r w:rsidRPr="00A27BF1">
        <w:rPr>
          <w:sz w:val="24"/>
          <w:szCs w:val="24"/>
          <w:lang w:val="zh-CN" w:eastAsia="zh-CN"/>
        </w:rPr>
        <w:t>》的规定，在</w:t>
      </w:r>
      <w:r w:rsidRPr="00A27BF1">
        <w:rPr>
          <w:sz w:val="24"/>
          <w:szCs w:val="24"/>
          <w:lang w:val="zh-CN" w:eastAsia="zh-CN"/>
        </w:rPr>
        <w:t>2020</w:t>
      </w:r>
      <w:r w:rsidRPr="00A27BF1">
        <w:rPr>
          <w:sz w:val="24"/>
          <w:szCs w:val="24"/>
          <w:lang w:val="zh-CN" w:eastAsia="zh-CN"/>
        </w:rPr>
        <w:t>年</w:t>
      </w:r>
      <w:r w:rsidRPr="00A27BF1">
        <w:rPr>
          <w:sz w:val="24"/>
          <w:szCs w:val="24"/>
          <w:lang w:val="zh-CN" w:eastAsia="zh-CN"/>
        </w:rPr>
        <w:t>3</w:t>
      </w:r>
      <w:r w:rsidRPr="00A27BF1">
        <w:rPr>
          <w:sz w:val="24"/>
          <w:szCs w:val="24"/>
          <w:lang w:val="zh-CN" w:eastAsia="zh-CN"/>
        </w:rPr>
        <w:t>月</w:t>
      </w:r>
      <w:r w:rsidRPr="00A27BF1">
        <w:rPr>
          <w:sz w:val="24"/>
          <w:szCs w:val="24"/>
          <w:lang w:val="zh-CN" w:eastAsia="zh-CN"/>
        </w:rPr>
        <w:t>31</w:t>
      </w:r>
      <w:r w:rsidRPr="00A27BF1">
        <w:rPr>
          <w:sz w:val="24"/>
          <w:szCs w:val="24"/>
          <w:lang w:val="zh-CN" w:eastAsia="zh-CN"/>
        </w:rPr>
        <w:t>日之前向秘书处提交关于其技术援助和技术转让需求的信息；</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邀请</w:t>
      </w:r>
      <w:r w:rsidRPr="00A27BF1">
        <w:rPr>
          <w:sz w:val="24"/>
          <w:szCs w:val="24"/>
          <w:lang w:val="zh-CN" w:eastAsia="zh-CN"/>
        </w:rPr>
        <w:t>发达国家缔约方和有能力的其他各方根据《</w:t>
      </w:r>
      <w:r w:rsidRPr="00A27BF1">
        <w:rPr>
          <w:rFonts w:hint="eastAsia"/>
          <w:sz w:val="24"/>
          <w:szCs w:val="24"/>
          <w:lang w:val="zh-CN" w:eastAsia="zh-CN"/>
        </w:rPr>
        <w:t>鹿特丹</w:t>
      </w:r>
      <w:r w:rsidRPr="00A27BF1">
        <w:rPr>
          <w:sz w:val="24"/>
          <w:szCs w:val="24"/>
          <w:lang w:val="zh-CN" w:eastAsia="zh-CN"/>
        </w:rPr>
        <w:t>公约》的规定</w:t>
      </w:r>
      <w:r w:rsidRPr="00A27BF1">
        <w:rPr>
          <w:rFonts w:hint="eastAsia"/>
          <w:sz w:val="24"/>
          <w:szCs w:val="24"/>
          <w:lang w:val="zh-CN" w:eastAsia="zh-CN"/>
        </w:rPr>
        <w:t>，</w:t>
      </w:r>
      <w:r w:rsidRPr="00A27BF1">
        <w:rPr>
          <w:sz w:val="24"/>
          <w:szCs w:val="24"/>
          <w:lang w:val="zh-CN" w:eastAsia="zh-CN"/>
        </w:rPr>
        <w:t>在</w:t>
      </w:r>
      <w:r w:rsidRPr="00A27BF1">
        <w:rPr>
          <w:sz w:val="24"/>
          <w:szCs w:val="24"/>
          <w:lang w:val="zh-CN" w:eastAsia="zh-CN"/>
        </w:rPr>
        <w:t>2020</w:t>
      </w:r>
      <w:r w:rsidRPr="00A27BF1">
        <w:rPr>
          <w:sz w:val="24"/>
          <w:szCs w:val="24"/>
          <w:lang w:val="zh-CN" w:eastAsia="zh-CN"/>
        </w:rPr>
        <w:t>年</w:t>
      </w:r>
      <w:r w:rsidRPr="00A27BF1">
        <w:rPr>
          <w:sz w:val="24"/>
          <w:szCs w:val="24"/>
          <w:lang w:val="zh-CN" w:eastAsia="zh-CN"/>
        </w:rPr>
        <w:t>3</w:t>
      </w:r>
      <w:r w:rsidRPr="00A27BF1">
        <w:rPr>
          <w:sz w:val="24"/>
          <w:szCs w:val="24"/>
          <w:lang w:val="zh-CN" w:eastAsia="zh-CN"/>
        </w:rPr>
        <w:t>月</w:t>
      </w:r>
      <w:r w:rsidRPr="00A27BF1">
        <w:rPr>
          <w:sz w:val="24"/>
          <w:szCs w:val="24"/>
          <w:lang w:val="zh-CN" w:eastAsia="zh-CN"/>
        </w:rPr>
        <w:t>31</w:t>
      </w:r>
      <w:r w:rsidRPr="00A27BF1">
        <w:rPr>
          <w:sz w:val="24"/>
          <w:szCs w:val="24"/>
          <w:lang w:val="zh-CN" w:eastAsia="zh-CN"/>
        </w:rPr>
        <w:t>日之前向秘书处提交关于它们可向发展中国家缔约方和经济转型国家缔约方提供的技术援助和技术转让的信息；</w:t>
      </w:r>
      <w:bookmarkStart w:id="0" w:name="_Hlk518639189"/>
      <w:bookmarkEnd w:id="0"/>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160"/>
        </w:tabs>
        <w:spacing w:after="120"/>
        <w:ind w:left="1200" w:firstLine="480"/>
        <w:jc w:val="both"/>
        <w:rPr>
          <w:sz w:val="24"/>
          <w:szCs w:val="24"/>
          <w:lang w:val="zh-CN" w:eastAsia="zh-CN"/>
        </w:rPr>
      </w:pPr>
      <w:r w:rsidRPr="00A27BF1">
        <w:rPr>
          <w:rFonts w:ascii="KaiTi" w:eastAsia="KaiTi" w:hAnsi="KaiTi" w:hint="eastAsia"/>
          <w:sz w:val="24"/>
          <w:szCs w:val="24"/>
          <w:lang w:val="zh-CN" w:eastAsia="zh-CN"/>
        </w:rPr>
        <w:t>请</w:t>
      </w:r>
      <w:r w:rsidRPr="00A27BF1">
        <w:rPr>
          <w:rFonts w:hint="eastAsia"/>
          <w:sz w:val="24"/>
          <w:szCs w:val="24"/>
          <w:lang w:val="zh-CN" w:eastAsia="zh-CN"/>
        </w:rPr>
        <w:t>秘书处继续使用</w:t>
      </w:r>
      <w:r w:rsidRPr="00A27BF1">
        <w:rPr>
          <w:sz w:val="24"/>
          <w:szCs w:val="24"/>
          <w:lang w:val="zh-CN" w:eastAsia="zh-CN"/>
        </w:rPr>
        <w:t>BC-12/9</w:t>
      </w:r>
      <w:r w:rsidRPr="00A27BF1">
        <w:rPr>
          <w:rFonts w:hint="eastAsia"/>
          <w:sz w:val="24"/>
          <w:szCs w:val="24"/>
          <w:lang w:val="zh-CN" w:eastAsia="zh-CN"/>
        </w:rPr>
        <w:t>号、</w:t>
      </w:r>
      <w:r w:rsidRPr="00A27BF1">
        <w:rPr>
          <w:sz w:val="24"/>
          <w:szCs w:val="24"/>
          <w:lang w:val="zh-CN" w:eastAsia="zh-CN"/>
        </w:rPr>
        <w:t>RC-7/7</w:t>
      </w:r>
      <w:r w:rsidRPr="00A27BF1">
        <w:rPr>
          <w:rFonts w:hint="eastAsia"/>
          <w:sz w:val="24"/>
          <w:szCs w:val="24"/>
          <w:lang w:val="zh-CN" w:eastAsia="zh-CN"/>
        </w:rPr>
        <w:t>号和</w:t>
      </w:r>
      <w:r w:rsidRPr="00A27BF1">
        <w:rPr>
          <w:sz w:val="24"/>
          <w:szCs w:val="24"/>
          <w:lang w:val="zh-CN" w:eastAsia="zh-CN"/>
        </w:rPr>
        <w:t>SC-7/16</w:t>
      </w:r>
      <w:r w:rsidRPr="00A27BF1">
        <w:rPr>
          <w:rFonts w:hint="eastAsia"/>
          <w:sz w:val="24"/>
          <w:szCs w:val="24"/>
          <w:lang w:val="zh-CN" w:eastAsia="zh-CN"/>
        </w:rPr>
        <w:t>号决定提及的数据库，收集关于为执行《鹿特丹公约》提供技术援助的信息，包括在线信息、缔约方和其他利益攸关方提交的信息或通过其他途径获得的信息，例如有关斯德哥尔摩公约资金机制的信息；</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注意到</w:t>
      </w:r>
      <w:r w:rsidRPr="00A27BF1">
        <w:rPr>
          <w:sz w:val="24"/>
          <w:szCs w:val="24"/>
          <w:lang w:val="zh-CN" w:eastAsia="zh-CN"/>
        </w:rPr>
        <w:t>2018-2021</w:t>
      </w:r>
      <w:r w:rsidRPr="00A27BF1">
        <w:rPr>
          <w:sz w:val="24"/>
          <w:szCs w:val="24"/>
          <w:lang w:val="zh-CN" w:eastAsia="zh-CN"/>
        </w:rPr>
        <w:t>年期间执行《</w:t>
      </w:r>
      <w:r w:rsidRPr="00A27BF1">
        <w:rPr>
          <w:rFonts w:hint="eastAsia"/>
          <w:sz w:val="24"/>
          <w:szCs w:val="24"/>
          <w:lang w:val="zh-CN" w:eastAsia="zh-CN"/>
        </w:rPr>
        <w:t>控制危险废物越境转移及其处置巴塞尔公约</w:t>
      </w:r>
      <w:r w:rsidRPr="00A27BF1">
        <w:rPr>
          <w:sz w:val="24"/>
          <w:szCs w:val="24"/>
          <w:lang w:val="zh-CN" w:eastAsia="zh-CN"/>
        </w:rPr>
        <w:t>》、《鹿特丹公约》和《</w:t>
      </w:r>
      <w:r w:rsidRPr="00A27BF1">
        <w:rPr>
          <w:rFonts w:hint="eastAsia"/>
          <w:sz w:val="24"/>
          <w:szCs w:val="24"/>
          <w:lang w:val="zh-CN" w:eastAsia="zh-CN"/>
        </w:rPr>
        <w:t>关于持久性有机污染物的斯德哥尔摩公约</w:t>
      </w:r>
      <w:r w:rsidRPr="00A27BF1">
        <w:rPr>
          <w:sz w:val="24"/>
          <w:szCs w:val="24"/>
          <w:lang w:val="zh-CN" w:eastAsia="zh-CN"/>
        </w:rPr>
        <w:t>》的技术援助计划</w:t>
      </w:r>
      <w:r w:rsidRPr="00A27BF1">
        <w:rPr>
          <w:rStyle w:val="FootnoteReference"/>
          <w:sz w:val="24"/>
          <w:szCs w:val="24"/>
          <w:lang w:val="zh-CN" w:eastAsia="zh-CN"/>
        </w:rPr>
        <w:footnoteReference w:customMarkFollows="1" w:id="2"/>
        <w:t>2</w:t>
      </w:r>
      <w:r w:rsidRPr="00A27BF1">
        <w:rPr>
          <w:sz w:val="24"/>
          <w:szCs w:val="24"/>
          <w:lang w:val="zh-CN" w:eastAsia="zh-CN"/>
        </w:rPr>
        <w:t>为缔约方提供了培训和能力建设</w:t>
      </w:r>
      <w:r w:rsidRPr="00A27BF1">
        <w:rPr>
          <w:rFonts w:hint="eastAsia"/>
          <w:sz w:val="24"/>
          <w:szCs w:val="24"/>
          <w:lang w:val="zh-CN" w:eastAsia="zh-CN"/>
        </w:rPr>
        <w:t>的</w:t>
      </w:r>
      <w:r w:rsidRPr="00A27BF1">
        <w:rPr>
          <w:sz w:val="24"/>
          <w:szCs w:val="24"/>
          <w:lang w:val="zh-CN" w:eastAsia="zh-CN"/>
        </w:rPr>
        <w:t>机会；</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鼓励</w:t>
      </w:r>
      <w:r w:rsidRPr="00A27BF1">
        <w:rPr>
          <w:sz w:val="24"/>
          <w:szCs w:val="24"/>
          <w:lang w:val="zh-CN" w:eastAsia="zh-CN"/>
        </w:rPr>
        <w:t>各缔约方、联合国环境规划署、联合国粮食及农业组织、全球环境基金以及</w:t>
      </w:r>
      <w:r w:rsidRPr="00A27BF1">
        <w:rPr>
          <w:rFonts w:hint="eastAsia"/>
          <w:sz w:val="24"/>
          <w:szCs w:val="24"/>
          <w:lang w:val="zh-CN" w:eastAsia="zh-CN"/>
        </w:rPr>
        <w:t>支持在国家一级加强体制以执行《巴塞尔公约》、《鹿特丹公约》、《斯德哥尔摩公约》、《水俣公约》和“国际化学品管理战略方针”的特别方案，</w:t>
      </w:r>
      <w:r w:rsidRPr="00A27BF1">
        <w:rPr>
          <w:sz w:val="24"/>
          <w:szCs w:val="24"/>
          <w:lang w:val="zh-CN" w:eastAsia="zh-CN"/>
        </w:rPr>
        <w:t>根据其任务规定和已确立的优先事项，继续支持</w:t>
      </w:r>
      <w:r w:rsidRPr="00A27BF1">
        <w:rPr>
          <w:sz w:val="24"/>
          <w:szCs w:val="24"/>
          <w:lang w:val="zh-CN" w:eastAsia="zh-CN"/>
        </w:rPr>
        <w:t>2018-2021</w:t>
      </w:r>
      <w:r w:rsidRPr="00A27BF1">
        <w:rPr>
          <w:sz w:val="24"/>
          <w:szCs w:val="24"/>
          <w:lang w:val="zh-CN" w:eastAsia="zh-CN"/>
        </w:rPr>
        <w:t>年</w:t>
      </w:r>
      <w:r w:rsidRPr="00A27BF1">
        <w:rPr>
          <w:rFonts w:hint="eastAsia"/>
          <w:sz w:val="24"/>
          <w:szCs w:val="24"/>
          <w:lang w:val="zh-CN" w:eastAsia="zh-CN"/>
        </w:rPr>
        <w:t>期间</w:t>
      </w:r>
      <w:r w:rsidRPr="00A27BF1">
        <w:rPr>
          <w:sz w:val="24"/>
          <w:szCs w:val="24"/>
          <w:lang w:val="zh-CN" w:eastAsia="zh-CN"/>
        </w:rPr>
        <w:t>执行《巴塞尔公约》、《鹿特丹公约》和《斯德哥尔摩公约》</w:t>
      </w:r>
      <w:r w:rsidRPr="00A27BF1">
        <w:rPr>
          <w:rFonts w:hint="eastAsia"/>
          <w:sz w:val="24"/>
          <w:szCs w:val="24"/>
          <w:lang w:val="zh-CN" w:eastAsia="zh-CN"/>
        </w:rPr>
        <w:t>的</w:t>
      </w:r>
      <w:r w:rsidRPr="00A27BF1">
        <w:rPr>
          <w:sz w:val="24"/>
          <w:szCs w:val="24"/>
          <w:lang w:val="zh-CN" w:eastAsia="zh-CN"/>
        </w:rPr>
        <w:t>技术援助计划；</w:t>
      </w:r>
      <w:bookmarkStart w:id="1" w:name="_Hlk529801950"/>
      <w:bookmarkEnd w:id="1"/>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2160"/>
        </w:tabs>
        <w:spacing w:after="120"/>
        <w:ind w:left="1200" w:firstLine="480"/>
        <w:jc w:val="both"/>
        <w:rPr>
          <w:color w:val="000000" w:themeColor="text1"/>
          <w:sz w:val="24"/>
          <w:szCs w:val="24"/>
          <w:lang w:eastAsia="zh-CN"/>
        </w:rPr>
      </w:pPr>
      <w:r w:rsidRPr="00A27BF1">
        <w:rPr>
          <w:rFonts w:ascii="KaiTi" w:eastAsia="KaiTi" w:hAnsi="KaiTi" w:hint="eastAsia"/>
          <w:sz w:val="24"/>
          <w:szCs w:val="24"/>
          <w:lang w:val="zh-CN" w:eastAsia="zh-CN"/>
        </w:rPr>
        <w:t>鼓励</w:t>
      </w:r>
      <w:r w:rsidRPr="00A27BF1">
        <w:rPr>
          <w:rFonts w:hint="eastAsia"/>
          <w:sz w:val="24"/>
          <w:szCs w:val="24"/>
          <w:lang w:val="zh-CN" w:eastAsia="zh-CN"/>
        </w:rPr>
        <w:t>相关缔约方根据《巴塞尔公约》第</w:t>
      </w:r>
      <w:r w:rsidRPr="00A27BF1">
        <w:rPr>
          <w:sz w:val="24"/>
          <w:szCs w:val="24"/>
          <w:lang w:val="zh-CN" w:eastAsia="zh-CN"/>
        </w:rPr>
        <w:t>10</w:t>
      </w:r>
      <w:r w:rsidRPr="00A27BF1">
        <w:rPr>
          <w:rFonts w:hint="eastAsia"/>
          <w:sz w:val="24"/>
          <w:szCs w:val="24"/>
          <w:lang w:val="zh-CN" w:eastAsia="zh-CN"/>
        </w:rPr>
        <w:t>条、《鹿特丹公约》第</w:t>
      </w:r>
      <w:r w:rsidRPr="00A27BF1">
        <w:rPr>
          <w:sz w:val="24"/>
          <w:szCs w:val="24"/>
          <w:lang w:val="zh-CN" w:eastAsia="zh-CN"/>
        </w:rPr>
        <w:t>16</w:t>
      </w:r>
      <w:r w:rsidRPr="00A27BF1">
        <w:rPr>
          <w:rFonts w:hint="eastAsia"/>
          <w:sz w:val="24"/>
          <w:szCs w:val="24"/>
          <w:lang w:val="zh-CN" w:eastAsia="zh-CN"/>
        </w:rPr>
        <w:t>条和《斯德哥尔摩公约》第</w:t>
      </w:r>
      <w:r w:rsidRPr="00A27BF1">
        <w:rPr>
          <w:sz w:val="24"/>
          <w:szCs w:val="24"/>
          <w:lang w:val="zh-CN" w:eastAsia="zh-CN"/>
        </w:rPr>
        <w:t>12</w:t>
      </w:r>
      <w:r w:rsidRPr="00A27BF1">
        <w:rPr>
          <w:rFonts w:hint="eastAsia"/>
          <w:sz w:val="24"/>
          <w:szCs w:val="24"/>
          <w:lang w:val="zh-CN" w:eastAsia="zh-CN"/>
        </w:rPr>
        <w:t>条，并邀请有能力的其他各方，支持实施</w:t>
      </w:r>
      <w:r w:rsidRPr="00A27BF1">
        <w:rPr>
          <w:sz w:val="24"/>
          <w:szCs w:val="24"/>
          <w:lang w:val="zh-CN" w:eastAsia="zh-CN"/>
        </w:rPr>
        <w:t>2018-2021</w:t>
      </w:r>
      <w:r w:rsidRPr="00A27BF1">
        <w:rPr>
          <w:rFonts w:hint="eastAsia"/>
          <w:sz w:val="24"/>
          <w:szCs w:val="24"/>
          <w:lang w:val="zh-CN" w:eastAsia="zh-CN"/>
        </w:rPr>
        <w:t>年期间</w:t>
      </w:r>
      <w:r w:rsidRPr="00A27BF1">
        <w:rPr>
          <w:sz w:val="24"/>
          <w:szCs w:val="24"/>
          <w:lang w:val="zh-CN" w:eastAsia="zh-CN"/>
        </w:rPr>
        <w:t>执行《巴塞尔公约》、《鹿特丹公约》和《斯德哥尔摩公约》的技术援助计划</w:t>
      </w:r>
      <w:r w:rsidRPr="00A27BF1">
        <w:rPr>
          <w:rFonts w:hint="eastAsia"/>
          <w:sz w:val="24"/>
          <w:szCs w:val="24"/>
          <w:lang w:val="zh-CN" w:eastAsia="zh-CN"/>
        </w:rPr>
        <w:t>；</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040"/>
        </w:tabs>
        <w:spacing w:after="120"/>
        <w:ind w:left="1200" w:firstLine="480"/>
        <w:jc w:val="both"/>
        <w:rPr>
          <w:i/>
          <w:color w:val="000000" w:themeColor="text1"/>
          <w:sz w:val="24"/>
          <w:szCs w:val="24"/>
          <w:lang w:eastAsia="zh-CN"/>
        </w:rPr>
      </w:pPr>
      <w:r>
        <w:rPr>
          <w:rFonts w:ascii="KaiTi" w:eastAsia="KaiTi" w:hAnsi="KaiTi" w:hint="eastAsia"/>
          <w:sz w:val="24"/>
          <w:szCs w:val="24"/>
          <w:lang w:val="zh-CN" w:eastAsia="zh-CN"/>
        </w:rPr>
        <w:t xml:space="preserve"> </w:t>
      </w:r>
      <w:r w:rsidRPr="00A27BF1">
        <w:rPr>
          <w:rFonts w:ascii="KaiTi" w:eastAsia="KaiTi" w:hAnsi="KaiTi"/>
          <w:sz w:val="24"/>
          <w:szCs w:val="24"/>
          <w:lang w:val="zh-CN" w:eastAsia="zh-CN"/>
        </w:rPr>
        <w:t>请</w:t>
      </w:r>
      <w:r w:rsidRPr="00A27BF1">
        <w:rPr>
          <w:sz w:val="24"/>
          <w:szCs w:val="24"/>
          <w:lang w:val="zh-CN" w:eastAsia="zh-CN"/>
        </w:rPr>
        <w:t>秘书处在资源允许的</w:t>
      </w:r>
      <w:r w:rsidRPr="00A27BF1">
        <w:rPr>
          <w:rFonts w:hint="eastAsia"/>
          <w:sz w:val="24"/>
          <w:szCs w:val="24"/>
          <w:lang w:val="zh-CN" w:eastAsia="zh-CN"/>
        </w:rPr>
        <w:t>情况下</w:t>
      </w:r>
      <w:r w:rsidRPr="00A27BF1">
        <w:rPr>
          <w:sz w:val="24"/>
          <w:szCs w:val="24"/>
          <w:lang w:val="zh-CN" w:eastAsia="zh-CN"/>
        </w:rPr>
        <w:t>：</w:t>
      </w:r>
    </w:p>
    <w:p w:rsidR="00101C68" w:rsidRPr="00A27BF1" w:rsidRDefault="00101C68" w:rsidP="00101C68">
      <w:pPr>
        <w:pStyle w:val="Normal-pool"/>
        <w:numPr>
          <w:ilvl w:val="0"/>
          <w:numId w:val="13"/>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sz w:val="24"/>
          <w:szCs w:val="24"/>
          <w:lang w:val="zh-CN" w:eastAsia="zh-CN"/>
        </w:rPr>
        <w:t>与相关行为体合作，继续实施</w:t>
      </w:r>
      <w:r w:rsidRPr="00A27BF1">
        <w:rPr>
          <w:sz w:val="24"/>
          <w:szCs w:val="24"/>
          <w:lang w:val="zh-CN" w:eastAsia="zh-CN"/>
        </w:rPr>
        <w:t>2018-2021</w:t>
      </w:r>
      <w:r w:rsidRPr="00A27BF1">
        <w:rPr>
          <w:rFonts w:hint="eastAsia"/>
          <w:sz w:val="24"/>
          <w:szCs w:val="24"/>
          <w:lang w:val="zh-CN" w:eastAsia="zh-CN"/>
        </w:rPr>
        <w:t>年期间技术援助计划</w:t>
      </w:r>
      <w:r w:rsidRPr="00A27BF1">
        <w:rPr>
          <w:sz w:val="24"/>
          <w:szCs w:val="24"/>
          <w:lang w:val="zh-CN" w:eastAsia="zh-CN"/>
        </w:rPr>
        <w:t>；</w:t>
      </w:r>
    </w:p>
    <w:p w:rsidR="00101C68" w:rsidRPr="00A27BF1" w:rsidRDefault="00101C68" w:rsidP="00101C68">
      <w:pPr>
        <w:pStyle w:val="Normal-pool"/>
        <w:numPr>
          <w:ilvl w:val="0"/>
          <w:numId w:val="13"/>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sz w:val="24"/>
          <w:szCs w:val="24"/>
          <w:lang w:val="zh-CN" w:eastAsia="zh-CN"/>
        </w:rPr>
        <w:t>依据</w:t>
      </w:r>
      <w:r w:rsidRPr="00A27BF1">
        <w:rPr>
          <w:rFonts w:hint="eastAsia"/>
          <w:sz w:val="24"/>
          <w:szCs w:val="24"/>
          <w:lang w:val="zh-CN" w:eastAsia="zh-CN"/>
        </w:rPr>
        <w:t>本决定</w:t>
      </w:r>
      <w:r w:rsidRPr="00A27BF1">
        <w:rPr>
          <w:sz w:val="24"/>
          <w:szCs w:val="24"/>
          <w:lang w:val="zh-CN" w:eastAsia="zh-CN"/>
        </w:rPr>
        <w:t>第</w:t>
      </w:r>
      <w:r w:rsidRPr="00A27BF1">
        <w:rPr>
          <w:sz w:val="24"/>
          <w:szCs w:val="24"/>
          <w:lang w:val="zh-CN" w:eastAsia="zh-CN"/>
        </w:rPr>
        <w:t>2</w:t>
      </w:r>
      <w:r w:rsidRPr="00A27BF1">
        <w:rPr>
          <w:sz w:val="24"/>
          <w:szCs w:val="24"/>
          <w:lang w:val="zh-CN" w:eastAsia="zh-CN"/>
        </w:rPr>
        <w:t>、</w:t>
      </w:r>
      <w:r w:rsidRPr="00A27BF1">
        <w:rPr>
          <w:rFonts w:hint="eastAsia"/>
          <w:sz w:val="24"/>
          <w:szCs w:val="24"/>
          <w:lang w:val="zh-CN" w:eastAsia="zh-CN"/>
        </w:rPr>
        <w:t>第</w:t>
      </w:r>
      <w:r w:rsidRPr="00A27BF1">
        <w:rPr>
          <w:sz w:val="24"/>
          <w:szCs w:val="24"/>
          <w:lang w:val="zh-CN" w:eastAsia="zh-CN"/>
        </w:rPr>
        <w:t>3</w:t>
      </w:r>
      <w:r w:rsidRPr="00A27BF1">
        <w:rPr>
          <w:sz w:val="24"/>
          <w:szCs w:val="24"/>
          <w:lang w:val="zh-CN" w:eastAsia="zh-CN"/>
        </w:rPr>
        <w:t>和第</w:t>
      </w:r>
      <w:r w:rsidRPr="00A27BF1">
        <w:rPr>
          <w:sz w:val="24"/>
          <w:szCs w:val="24"/>
          <w:lang w:val="zh-CN" w:eastAsia="zh-CN"/>
        </w:rPr>
        <w:t>4</w:t>
      </w:r>
      <w:r w:rsidRPr="00A27BF1">
        <w:rPr>
          <w:sz w:val="24"/>
          <w:szCs w:val="24"/>
          <w:lang w:val="zh-CN" w:eastAsia="zh-CN"/>
        </w:rPr>
        <w:t>段，编制在线调查问卷</w:t>
      </w:r>
      <w:r w:rsidRPr="00A27BF1">
        <w:rPr>
          <w:rFonts w:hint="eastAsia"/>
          <w:sz w:val="24"/>
          <w:szCs w:val="24"/>
          <w:lang w:val="zh-CN" w:eastAsia="zh-CN"/>
        </w:rPr>
        <w:t>以向</w:t>
      </w:r>
      <w:r w:rsidRPr="00A27BF1">
        <w:rPr>
          <w:sz w:val="24"/>
          <w:szCs w:val="24"/>
          <w:lang w:val="zh-CN" w:eastAsia="zh-CN"/>
        </w:rPr>
        <w:t>缔约方收集</w:t>
      </w:r>
      <w:r w:rsidRPr="00A27BF1">
        <w:rPr>
          <w:rFonts w:hint="eastAsia"/>
          <w:sz w:val="24"/>
          <w:szCs w:val="24"/>
          <w:lang w:val="zh-CN" w:eastAsia="zh-CN"/>
        </w:rPr>
        <w:t>信息</w:t>
      </w:r>
      <w:r w:rsidRPr="00A27BF1">
        <w:rPr>
          <w:sz w:val="24"/>
          <w:szCs w:val="24"/>
          <w:lang w:val="zh-CN" w:eastAsia="zh-CN"/>
        </w:rPr>
        <w:t>，在各公约网站上发布信息，并在缔约方提交的信息的基础上，编写一份</w:t>
      </w:r>
      <w:r w:rsidRPr="00A27BF1">
        <w:rPr>
          <w:rFonts w:hint="eastAsia"/>
          <w:sz w:val="24"/>
          <w:szCs w:val="24"/>
          <w:lang w:val="zh-CN" w:eastAsia="zh-CN"/>
        </w:rPr>
        <w:t>关于评估</w:t>
      </w:r>
      <w:r w:rsidRPr="00A27BF1">
        <w:rPr>
          <w:sz w:val="24"/>
          <w:szCs w:val="24"/>
          <w:lang w:val="zh-CN" w:eastAsia="zh-CN"/>
        </w:rPr>
        <w:t>发展中国家缔约方和经济转型国家缔约方技术援助</w:t>
      </w:r>
      <w:r w:rsidRPr="00A27BF1">
        <w:rPr>
          <w:rFonts w:hint="eastAsia"/>
          <w:sz w:val="24"/>
          <w:szCs w:val="24"/>
          <w:lang w:val="zh-CN" w:eastAsia="zh-CN"/>
        </w:rPr>
        <w:t>和</w:t>
      </w:r>
      <w:r w:rsidRPr="00A27BF1">
        <w:rPr>
          <w:sz w:val="24"/>
          <w:szCs w:val="24"/>
          <w:lang w:val="zh-CN" w:eastAsia="zh-CN"/>
        </w:rPr>
        <w:t>技术转让需求信息的报告；</w:t>
      </w:r>
    </w:p>
    <w:p w:rsidR="00101C68" w:rsidRPr="00A27BF1" w:rsidRDefault="00101C68" w:rsidP="00101C68">
      <w:pPr>
        <w:pStyle w:val="Normal-pool"/>
        <w:numPr>
          <w:ilvl w:val="0"/>
          <w:numId w:val="13"/>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rFonts w:hint="eastAsia"/>
          <w:sz w:val="24"/>
          <w:szCs w:val="24"/>
          <w:lang w:val="zh-CN" w:eastAsia="zh-CN"/>
        </w:rPr>
        <w:lastRenderedPageBreak/>
        <w:t>继续在本决定第</w:t>
      </w:r>
      <w:r w:rsidRPr="00A27BF1">
        <w:rPr>
          <w:rFonts w:hint="eastAsia"/>
          <w:sz w:val="24"/>
          <w:szCs w:val="24"/>
          <w:lang w:val="zh-CN" w:eastAsia="zh-CN"/>
        </w:rPr>
        <w:t>10</w:t>
      </w:r>
      <w:r w:rsidRPr="00A27BF1">
        <w:rPr>
          <w:rFonts w:hint="eastAsia"/>
          <w:sz w:val="24"/>
          <w:szCs w:val="24"/>
          <w:lang w:val="zh-CN" w:eastAsia="zh-CN"/>
        </w:rPr>
        <w:t>段要求提交的报告中列入监测和评价根据</w:t>
      </w:r>
      <w:r w:rsidRPr="00A27BF1">
        <w:rPr>
          <w:sz w:val="24"/>
          <w:szCs w:val="24"/>
          <w:lang w:val="zh-CN" w:eastAsia="zh-CN"/>
        </w:rPr>
        <w:t>2018-2021</w:t>
      </w:r>
      <w:r w:rsidRPr="00A27BF1">
        <w:rPr>
          <w:sz w:val="24"/>
          <w:szCs w:val="24"/>
          <w:lang w:val="zh-CN" w:eastAsia="zh-CN"/>
        </w:rPr>
        <w:t>年期间技术援助计划</w:t>
      </w:r>
      <w:r w:rsidRPr="00A27BF1">
        <w:rPr>
          <w:rFonts w:hint="eastAsia"/>
          <w:sz w:val="24"/>
          <w:szCs w:val="24"/>
          <w:lang w:val="zh-CN" w:eastAsia="zh-CN"/>
        </w:rPr>
        <w:t>开展的项目的信息</w:t>
      </w:r>
      <w:r w:rsidRPr="00A27BF1">
        <w:rPr>
          <w:sz w:val="24"/>
          <w:szCs w:val="24"/>
          <w:lang w:val="zh-CN" w:eastAsia="zh-CN"/>
        </w:rPr>
        <w:t>；</w:t>
      </w:r>
    </w:p>
    <w:p w:rsidR="00101C68" w:rsidRPr="00A27BF1" w:rsidRDefault="00101C68" w:rsidP="00101C68">
      <w:pPr>
        <w:pStyle w:val="Normal-pool"/>
        <w:numPr>
          <w:ilvl w:val="0"/>
          <w:numId w:val="13"/>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sz w:val="24"/>
          <w:szCs w:val="24"/>
          <w:lang w:val="zh-CN" w:eastAsia="zh-CN"/>
        </w:rPr>
        <w:t>参考</w:t>
      </w:r>
      <w:r w:rsidRPr="00A27BF1">
        <w:rPr>
          <w:rFonts w:hint="eastAsia"/>
          <w:sz w:val="24"/>
          <w:szCs w:val="24"/>
          <w:lang w:val="zh-CN" w:eastAsia="zh-CN"/>
        </w:rPr>
        <w:t>本决定</w:t>
      </w:r>
      <w:r w:rsidRPr="00A27BF1">
        <w:rPr>
          <w:sz w:val="24"/>
          <w:szCs w:val="24"/>
          <w:lang w:val="zh-CN" w:eastAsia="zh-CN"/>
        </w:rPr>
        <w:t>第</w:t>
      </w:r>
      <w:r w:rsidRPr="00A27BF1">
        <w:rPr>
          <w:rFonts w:hint="eastAsia"/>
          <w:sz w:val="24"/>
          <w:szCs w:val="24"/>
          <w:lang w:val="zh-CN" w:eastAsia="zh-CN"/>
        </w:rPr>
        <w:t>8</w:t>
      </w:r>
      <w:r w:rsidRPr="00A27BF1">
        <w:rPr>
          <w:sz w:val="24"/>
          <w:szCs w:val="24"/>
          <w:lang w:val="zh-CN" w:eastAsia="zh-CN"/>
        </w:rPr>
        <w:t>(b)</w:t>
      </w:r>
      <w:r w:rsidRPr="00A27BF1">
        <w:rPr>
          <w:sz w:val="24"/>
          <w:szCs w:val="24"/>
          <w:lang w:val="zh-CN" w:eastAsia="zh-CN"/>
        </w:rPr>
        <w:t>和</w:t>
      </w:r>
      <w:r w:rsidRPr="00A27BF1">
        <w:rPr>
          <w:sz w:val="24"/>
          <w:szCs w:val="24"/>
          <w:lang w:val="zh-CN" w:eastAsia="zh-CN"/>
        </w:rPr>
        <w:t>(c)</w:t>
      </w:r>
      <w:r w:rsidRPr="00A27BF1">
        <w:rPr>
          <w:sz w:val="24"/>
          <w:szCs w:val="24"/>
          <w:lang w:val="zh-CN" w:eastAsia="zh-CN"/>
        </w:rPr>
        <w:t>分段所述报告，制定</w:t>
      </w:r>
      <w:r w:rsidRPr="00A27BF1">
        <w:rPr>
          <w:sz w:val="24"/>
          <w:szCs w:val="24"/>
          <w:lang w:val="zh-CN" w:eastAsia="zh-CN"/>
        </w:rPr>
        <w:t>2022-2025</w:t>
      </w:r>
      <w:r w:rsidRPr="00A27BF1">
        <w:rPr>
          <w:sz w:val="24"/>
          <w:szCs w:val="24"/>
          <w:lang w:val="zh-CN" w:eastAsia="zh-CN"/>
        </w:rPr>
        <w:t>年</w:t>
      </w:r>
      <w:r w:rsidRPr="00A27BF1">
        <w:rPr>
          <w:rFonts w:hint="eastAsia"/>
          <w:sz w:val="24"/>
          <w:szCs w:val="24"/>
          <w:lang w:val="zh-CN" w:eastAsia="zh-CN"/>
        </w:rPr>
        <w:t>期间</w:t>
      </w:r>
      <w:r w:rsidRPr="00A27BF1">
        <w:rPr>
          <w:sz w:val="24"/>
          <w:szCs w:val="24"/>
          <w:lang w:val="zh-CN" w:eastAsia="zh-CN"/>
        </w:rPr>
        <w:t>技术援助计划，并提交缔约方大会</w:t>
      </w:r>
      <w:r w:rsidRPr="00A27BF1">
        <w:rPr>
          <w:rFonts w:hint="eastAsia"/>
          <w:sz w:val="24"/>
          <w:szCs w:val="24"/>
          <w:lang w:val="zh-CN" w:eastAsia="zh-CN"/>
        </w:rPr>
        <w:t>下一</w:t>
      </w:r>
      <w:r w:rsidRPr="00A27BF1">
        <w:rPr>
          <w:sz w:val="24"/>
          <w:szCs w:val="24"/>
          <w:lang w:val="zh-CN" w:eastAsia="zh-CN"/>
        </w:rPr>
        <w:t>次会议审议；</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强调</w:t>
      </w:r>
      <w:r w:rsidRPr="00A27BF1">
        <w:rPr>
          <w:sz w:val="24"/>
          <w:szCs w:val="24"/>
          <w:lang w:val="zh-CN" w:eastAsia="zh-CN"/>
        </w:rPr>
        <w:t>《巴塞尔公约》和《斯德哥尔摩公约》的条文所规定的各区域中心以及联合国粮食及农业组织各区域、次区域和国家办事处、联合国环境规划署</w:t>
      </w:r>
      <w:r w:rsidRPr="00A27BF1">
        <w:rPr>
          <w:rFonts w:hint="eastAsia"/>
          <w:sz w:val="24"/>
          <w:szCs w:val="24"/>
          <w:lang w:val="zh-CN" w:eastAsia="zh-CN"/>
        </w:rPr>
        <w:t>和</w:t>
      </w:r>
      <w:r w:rsidRPr="00A27BF1">
        <w:rPr>
          <w:sz w:val="24"/>
          <w:szCs w:val="24"/>
          <w:lang w:val="zh-CN" w:eastAsia="zh-CN"/>
        </w:rPr>
        <w:t>组织间健全管理化学品方案的其他参与组织</w:t>
      </w:r>
      <w:r w:rsidRPr="00A27BF1">
        <w:rPr>
          <w:rFonts w:hint="eastAsia"/>
          <w:sz w:val="24"/>
          <w:szCs w:val="24"/>
          <w:lang w:val="zh-CN" w:eastAsia="zh-CN"/>
        </w:rPr>
        <w:t>应</w:t>
      </w:r>
      <w:r w:rsidRPr="00A27BF1">
        <w:rPr>
          <w:sz w:val="24"/>
          <w:szCs w:val="24"/>
          <w:lang w:val="zh-CN" w:eastAsia="zh-CN"/>
        </w:rPr>
        <w:t>发挥关键作用，应请求（特别是在区域一级）为《巴塞尔公约》、《鹿特丹公约》和《斯德哥尔摩公约》提供技术援助，并推动向符合条件的缔约方转让技术；</w:t>
      </w:r>
    </w:p>
    <w:p w:rsidR="00101C68" w:rsidRPr="00A27BF1" w:rsidRDefault="00101C68" w:rsidP="00101C68">
      <w:pPr>
        <w:pStyle w:val="Normal-pool"/>
        <w:numPr>
          <w:ilvl w:val="0"/>
          <w:numId w:val="12"/>
        </w:numPr>
        <w:tabs>
          <w:tab w:val="clear" w:pos="1247"/>
          <w:tab w:val="clear" w:pos="1814"/>
          <w:tab w:val="clear" w:pos="2381"/>
          <w:tab w:val="clear" w:pos="2948"/>
          <w:tab w:val="clear" w:pos="3515"/>
          <w:tab w:val="clear" w:pos="4082"/>
          <w:tab w:val="left" w:pos="624"/>
          <w:tab w:val="left" w:pos="2160"/>
        </w:tabs>
        <w:spacing w:after="120"/>
        <w:ind w:left="1200" w:firstLine="480"/>
        <w:jc w:val="both"/>
        <w:rPr>
          <w:color w:val="000000" w:themeColor="text1"/>
          <w:sz w:val="24"/>
          <w:szCs w:val="24"/>
          <w:lang w:eastAsia="zh-CN"/>
        </w:rPr>
      </w:pPr>
      <w:r w:rsidRPr="00A27BF1">
        <w:rPr>
          <w:rFonts w:ascii="KaiTi" w:eastAsia="KaiTi" w:hAnsi="KaiTi"/>
          <w:sz w:val="24"/>
          <w:szCs w:val="24"/>
          <w:lang w:val="zh-CN" w:eastAsia="zh-CN"/>
        </w:rPr>
        <w:t>请</w:t>
      </w:r>
      <w:r w:rsidRPr="00A27BF1">
        <w:rPr>
          <w:sz w:val="24"/>
          <w:szCs w:val="24"/>
          <w:lang w:val="zh-CN" w:eastAsia="zh-CN"/>
        </w:rPr>
        <w:t>秘书处向缔约方大会</w:t>
      </w:r>
      <w:r w:rsidRPr="00A27BF1">
        <w:rPr>
          <w:rFonts w:hint="eastAsia"/>
          <w:sz w:val="24"/>
          <w:szCs w:val="24"/>
          <w:lang w:val="zh-CN" w:eastAsia="zh-CN"/>
        </w:rPr>
        <w:t>下一</w:t>
      </w:r>
      <w:r w:rsidRPr="00A27BF1">
        <w:rPr>
          <w:sz w:val="24"/>
          <w:szCs w:val="24"/>
          <w:lang w:val="zh-CN" w:eastAsia="zh-CN"/>
        </w:rPr>
        <w:t>次会议汇报本决定的执行情况</w:t>
      </w:r>
      <w:r w:rsidRPr="00A27BF1">
        <w:rPr>
          <w:rFonts w:hint="eastAsia"/>
          <w:sz w:val="24"/>
          <w:szCs w:val="24"/>
          <w:lang w:val="zh-CN" w:eastAsia="zh-CN"/>
        </w:rPr>
        <w:t>，尤其是继续切实使用数据库来收集相关信</w:t>
      </w:r>
      <w:bookmarkStart w:id="2" w:name="_GoBack"/>
      <w:bookmarkEnd w:id="2"/>
      <w:r w:rsidRPr="00A27BF1">
        <w:rPr>
          <w:rFonts w:hint="eastAsia"/>
          <w:sz w:val="24"/>
          <w:szCs w:val="24"/>
          <w:lang w:val="zh-CN" w:eastAsia="zh-CN"/>
        </w:rPr>
        <w:t>息的情况</w:t>
      </w:r>
      <w:r w:rsidRPr="00A27BF1">
        <w:rPr>
          <w:sz w:val="24"/>
          <w:szCs w:val="24"/>
          <w:lang w:val="zh-CN" w:eastAsia="zh-CN"/>
        </w:rPr>
        <w:t>。</w:t>
      </w: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101C68" w:rsidRPr="00C860F5" w:rsidRDefault="00101C68" w:rsidP="00101C68">
      <w:pPr>
        <w:pStyle w:val="Normal-pool"/>
        <w:tabs>
          <w:tab w:val="clear" w:pos="1247"/>
          <w:tab w:val="clear" w:pos="1814"/>
          <w:tab w:val="clear" w:pos="2381"/>
          <w:tab w:val="clear" w:pos="2948"/>
          <w:tab w:val="clear" w:pos="3515"/>
          <w:tab w:val="clear" w:pos="4082"/>
          <w:tab w:val="left" w:pos="624"/>
        </w:tabs>
        <w:spacing w:after="120"/>
        <w:jc w:val="both"/>
        <w:rPr>
          <w:color w:val="000000" w:themeColor="text1"/>
          <w:sz w:val="24"/>
          <w:szCs w:val="24"/>
          <w:lang w:eastAsia="zh-CN"/>
        </w:rPr>
      </w:pPr>
    </w:p>
    <w:p w:rsidR="00F935A6" w:rsidRPr="003516D7" w:rsidRDefault="00F935A6" w:rsidP="00101C68">
      <w:pPr>
        <w:rPr>
          <w:lang w:val="en-GB"/>
        </w:rPr>
      </w:pPr>
    </w:p>
    <w:sectPr w:rsidR="00F935A6" w:rsidRPr="003516D7" w:rsidSect="00101C68">
      <w:pgSz w:w="12240" w:h="15840"/>
      <w:pgMar w:top="153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8C8" w:rsidRDefault="001B78C8" w:rsidP="006C58BB">
      <w:pPr>
        <w:spacing w:after="0" w:line="240" w:lineRule="auto"/>
      </w:pPr>
      <w:r>
        <w:separator/>
      </w:r>
    </w:p>
  </w:endnote>
  <w:endnote w:type="continuationSeparator" w:id="0">
    <w:p w:rsidR="001B78C8" w:rsidRDefault="001B78C8" w:rsidP="006C5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8C8" w:rsidRDefault="001B78C8" w:rsidP="006C58BB">
      <w:pPr>
        <w:spacing w:after="0" w:line="240" w:lineRule="auto"/>
      </w:pPr>
      <w:r>
        <w:separator/>
      </w:r>
    </w:p>
  </w:footnote>
  <w:footnote w:type="continuationSeparator" w:id="0">
    <w:p w:rsidR="001B78C8" w:rsidRDefault="001B78C8" w:rsidP="006C58BB">
      <w:pPr>
        <w:spacing w:after="0" w:line="240" w:lineRule="auto"/>
      </w:pPr>
      <w:r>
        <w:continuationSeparator/>
      </w:r>
    </w:p>
  </w:footnote>
  <w:footnote w:id="1">
    <w:p w:rsidR="00101C68" w:rsidRPr="00A27BF1" w:rsidRDefault="00101C68" w:rsidP="00101C68">
      <w:pPr>
        <w:pStyle w:val="FootnoteText"/>
        <w:spacing w:after="40" w:line="240" w:lineRule="auto"/>
        <w:ind w:left="1200" w:firstLine="0"/>
        <w:rPr>
          <w:spacing w:val="0"/>
          <w:w w:val="100"/>
          <w:kern w:val="0"/>
          <w:sz w:val="20"/>
          <w:lang w:eastAsia="zh-CN"/>
        </w:rPr>
      </w:pPr>
      <w:r w:rsidRPr="00A27BF1">
        <w:rPr>
          <w:rStyle w:val="FootnoteReference"/>
          <w:spacing w:val="0"/>
          <w:w w:val="100"/>
          <w:kern w:val="0"/>
        </w:rPr>
        <w:t>1</w:t>
      </w:r>
      <w:r w:rsidRPr="00A27BF1">
        <w:rPr>
          <w:spacing w:val="0"/>
          <w:w w:val="100"/>
          <w:kern w:val="0"/>
          <w:sz w:val="20"/>
        </w:rPr>
        <w:t xml:space="preserve"> </w:t>
      </w:r>
      <w:r w:rsidRPr="00A27BF1">
        <w:rPr>
          <w:color w:val="000000"/>
          <w:spacing w:val="0"/>
          <w:w w:val="100"/>
          <w:kern w:val="0"/>
          <w:sz w:val="20"/>
          <w:lang w:val="en-US"/>
        </w:rPr>
        <w:t>UNEP/CHW.14/INF/25/Rev.1–UNEP/FAO/RC/COP.9/INF/24/Rev.1–UNEP/POPS/COP.9/INF/25/Rev.1</w:t>
      </w:r>
      <w:r w:rsidRPr="00A27BF1">
        <w:rPr>
          <w:rFonts w:hint="eastAsia"/>
          <w:color w:val="000000"/>
          <w:spacing w:val="0"/>
          <w:w w:val="100"/>
          <w:kern w:val="0"/>
          <w:sz w:val="20"/>
          <w:lang w:val="en-US" w:eastAsia="zh-CN"/>
        </w:rPr>
        <w:t>。</w:t>
      </w:r>
    </w:p>
  </w:footnote>
  <w:footnote w:id="2">
    <w:p w:rsidR="00101C68" w:rsidRDefault="00101C68" w:rsidP="00101C68">
      <w:pPr>
        <w:pStyle w:val="FootnoteText"/>
        <w:spacing w:after="40" w:line="240" w:lineRule="auto"/>
        <w:ind w:left="1200" w:firstLine="0"/>
        <w:rPr>
          <w:lang w:eastAsia="zh-CN"/>
        </w:rPr>
      </w:pPr>
      <w:r w:rsidRPr="00A27BF1">
        <w:rPr>
          <w:rStyle w:val="FootnoteReference"/>
          <w:spacing w:val="0"/>
          <w:w w:val="100"/>
          <w:kern w:val="0"/>
        </w:rPr>
        <w:t>2</w:t>
      </w:r>
      <w:r w:rsidRPr="00A27BF1">
        <w:rPr>
          <w:spacing w:val="0"/>
          <w:w w:val="100"/>
          <w:kern w:val="0"/>
        </w:rPr>
        <w:t xml:space="preserve"> </w:t>
      </w:r>
      <w:r w:rsidRPr="00A27BF1">
        <w:rPr>
          <w:spacing w:val="0"/>
          <w:w w:val="100"/>
          <w:kern w:val="0"/>
          <w:sz w:val="20"/>
          <w:lang w:val="en-HK"/>
        </w:rPr>
        <w:t>UNEP/CHW.13/INF/36–UNEP/FAO/RC/COP.8/INF/26–UNEP/POPS/COP.8/INF/25</w:t>
      </w:r>
      <w:r w:rsidRPr="00A27BF1">
        <w:rPr>
          <w:spacing w:val="0"/>
          <w:w w:val="100"/>
          <w:kern w:val="0"/>
          <w:sz w:val="20"/>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557C5"/>
    <w:multiLevelType w:val="hybridMultilevel"/>
    <w:tmpl w:val="72D02E5E"/>
    <w:lvl w:ilvl="0" w:tplc="589CD74A">
      <w:start w:val="1"/>
      <w:numFmt w:val="decimal"/>
      <w:lvlText w:val="%1."/>
      <w:lvlJc w:val="left"/>
      <w:pPr>
        <w:ind w:left="644" w:hanging="360"/>
      </w:pPr>
      <w:rPr>
        <w:rFonts w:ascii="Times New Roman" w:hAnsi="Times New Roman" w:cs="Times New Roman" w:hint="default"/>
        <w:i w:val="0"/>
        <w:sz w:val="24"/>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 w15:restartNumberingAfterBreak="0">
    <w:nsid w:val="46EF7A42"/>
    <w:multiLevelType w:val="multilevel"/>
    <w:tmpl w:val="48241D10"/>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A66A9D"/>
    <w:multiLevelType w:val="multilevel"/>
    <w:tmpl w:val="C706BE06"/>
    <w:styleLink w:val="Normallist"/>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5" w15:restartNumberingAfterBreak="0">
    <w:nsid w:val="56CF0138"/>
    <w:multiLevelType w:val="hybridMultilevel"/>
    <w:tmpl w:val="F26CE2F6"/>
    <w:lvl w:ilvl="0" w:tplc="B2AE361A">
      <w:start w:val="1"/>
      <w:numFmt w:val="decimal"/>
      <w:lvlText w:val="%1."/>
      <w:lvlJc w:val="left"/>
      <w:pPr>
        <w:ind w:left="2231" w:hanging="360"/>
      </w:pPr>
      <w:rPr>
        <w:rFonts w:hint="default"/>
      </w:rPr>
    </w:lvl>
    <w:lvl w:ilvl="1" w:tplc="04090019" w:tentative="1">
      <w:start w:val="1"/>
      <w:numFmt w:val="lowerLetter"/>
      <w:lvlText w:val="%2."/>
      <w:lvlJc w:val="left"/>
      <w:pPr>
        <w:ind w:left="2951" w:hanging="360"/>
      </w:pPr>
    </w:lvl>
    <w:lvl w:ilvl="2" w:tplc="0409001B" w:tentative="1">
      <w:start w:val="1"/>
      <w:numFmt w:val="lowerRoman"/>
      <w:lvlText w:val="%3."/>
      <w:lvlJc w:val="right"/>
      <w:pPr>
        <w:ind w:left="3671" w:hanging="180"/>
      </w:pPr>
    </w:lvl>
    <w:lvl w:ilvl="3" w:tplc="0409000F" w:tentative="1">
      <w:start w:val="1"/>
      <w:numFmt w:val="decimal"/>
      <w:lvlText w:val="%4."/>
      <w:lvlJc w:val="left"/>
      <w:pPr>
        <w:ind w:left="4391" w:hanging="360"/>
      </w:pPr>
    </w:lvl>
    <w:lvl w:ilvl="4" w:tplc="04090019" w:tentative="1">
      <w:start w:val="1"/>
      <w:numFmt w:val="lowerLetter"/>
      <w:lvlText w:val="%5."/>
      <w:lvlJc w:val="left"/>
      <w:pPr>
        <w:ind w:left="5111" w:hanging="360"/>
      </w:pPr>
    </w:lvl>
    <w:lvl w:ilvl="5" w:tplc="0409001B" w:tentative="1">
      <w:start w:val="1"/>
      <w:numFmt w:val="lowerRoman"/>
      <w:lvlText w:val="%6."/>
      <w:lvlJc w:val="right"/>
      <w:pPr>
        <w:ind w:left="5831" w:hanging="180"/>
      </w:pPr>
    </w:lvl>
    <w:lvl w:ilvl="6" w:tplc="0409000F" w:tentative="1">
      <w:start w:val="1"/>
      <w:numFmt w:val="decimal"/>
      <w:lvlText w:val="%7."/>
      <w:lvlJc w:val="left"/>
      <w:pPr>
        <w:ind w:left="6551" w:hanging="360"/>
      </w:pPr>
    </w:lvl>
    <w:lvl w:ilvl="7" w:tplc="04090019" w:tentative="1">
      <w:start w:val="1"/>
      <w:numFmt w:val="lowerLetter"/>
      <w:lvlText w:val="%8."/>
      <w:lvlJc w:val="left"/>
      <w:pPr>
        <w:ind w:left="7271" w:hanging="360"/>
      </w:pPr>
    </w:lvl>
    <w:lvl w:ilvl="8" w:tplc="0409001B" w:tentative="1">
      <w:start w:val="1"/>
      <w:numFmt w:val="lowerRoman"/>
      <w:lvlText w:val="%9."/>
      <w:lvlJc w:val="right"/>
      <w:pPr>
        <w:ind w:left="7991" w:hanging="180"/>
      </w:pPr>
    </w:lvl>
  </w:abstractNum>
  <w:abstractNum w:abstractNumId="6" w15:restartNumberingAfterBreak="0">
    <w:nsid w:val="6F7C4406"/>
    <w:multiLevelType w:val="hybridMultilevel"/>
    <w:tmpl w:val="E7C07860"/>
    <w:lvl w:ilvl="0" w:tplc="9566D8DE">
      <w:start w:val="1"/>
      <w:numFmt w:val="decimal"/>
      <w:lvlText w:val="%1."/>
      <w:lvlJc w:val="left"/>
      <w:pPr>
        <w:tabs>
          <w:tab w:val="num" w:pos="3215"/>
        </w:tabs>
        <w:ind w:left="3215" w:hanging="360"/>
      </w:pPr>
      <w:rPr>
        <w:i w:val="0"/>
      </w:rPr>
    </w:lvl>
    <w:lvl w:ilvl="1" w:tplc="04090019">
      <w:start w:val="1"/>
      <w:numFmt w:val="lowerLetter"/>
      <w:lvlText w:val="%2."/>
      <w:lvlJc w:val="left"/>
      <w:pPr>
        <w:tabs>
          <w:tab w:val="num" w:pos="3935"/>
        </w:tabs>
        <w:ind w:left="3935" w:hanging="360"/>
      </w:pPr>
    </w:lvl>
    <w:lvl w:ilvl="2" w:tplc="0409001B" w:tentative="1">
      <w:start w:val="1"/>
      <w:numFmt w:val="lowerRoman"/>
      <w:lvlText w:val="%3."/>
      <w:lvlJc w:val="right"/>
      <w:pPr>
        <w:tabs>
          <w:tab w:val="num" w:pos="4655"/>
        </w:tabs>
        <w:ind w:left="4655" w:hanging="180"/>
      </w:pPr>
    </w:lvl>
    <w:lvl w:ilvl="3" w:tplc="0409000F" w:tentative="1">
      <w:start w:val="1"/>
      <w:numFmt w:val="decimal"/>
      <w:lvlText w:val="%4."/>
      <w:lvlJc w:val="left"/>
      <w:pPr>
        <w:tabs>
          <w:tab w:val="num" w:pos="5375"/>
        </w:tabs>
        <w:ind w:left="5375" w:hanging="360"/>
      </w:pPr>
    </w:lvl>
    <w:lvl w:ilvl="4" w:tplc="04090019" w:tentative="1">
      <w:start w:val="1"/>
      <w:numFmt w:val="lowerLetter"/>
      <w:lvlText w:val="%5."/>
      <w:lvlJc w:val="left"/>
      <w:pPr>
        <w:tabs>
          <w:tab w:val="num" w:pos="6095"/>
        </w:tabs>
        <w:ind w:left="6095" w:hanging="360"/>
      </w:pPr>
    </w:lvl>
    <w:lvl w:ilvl="5" w:tplc="0409001B" w:tentative="1">
      <w:start w:val="1"/>
      <w:numFmt w:val="lowerRoman"/>
      <w:lvlText w:val="%6."/>
      <w:lvlJc w:val="right"/>
      <w:pPr>
        <w:tabs>
          <w:tab w:val="num" w:pos="6815"/>
        </w:tabs>
        <w:ind w:left="6815" w:hanging="180"/>
      </w:pPr>
    </w:lvl>
    <w:lvl w:ilvl="6" w:tplc="0409000F" w:tentative="1">
      <w:start w:val="1"/>
      <w:numFmt w:val="decimal"/>
      <w:lvlText w:val="%7."/>
      <w:lvlJc w:val="left"/>
      <w:pPr>
        <w:tabs>
          <w:tab w:val="num" w:pos="7535"/>
        </w:tabs>
        <w:ind w:left="7535" w:hanging="360"/>
      </w:pPr>
    </w:lvl>
    <w:lvl w:ilvl="7" w:tplc="04090019" w:tentative="1">
      <w:start w:val="1"/>
      <w:numFmt w:val="lowerLetter"/>
      <w:lvlText w:val="%8."/>
      <w:lvlJc w:val="left"/>
      <w:pPr>
        <w:tabs>
          <w:tab w:val="num" w:pos="8255"/>
        </w:tabs>
        <w:ind w:left="8255" w:hanging="360"/>
      </w:pPr>
    </w:lvl>
    <w:lvl w:ilvl="8" w:tplc="0409001B" w:tentative="1">
      <w:start w:val="1"/>
      <w:numFmt w:val="lowerRoman"/>
      <w:lvlText w:val="%9."/>
      <w:lvlJc w:val="right"/>
      <w:pPr>
        <w:tabs>
          <w:tab w:val="num" w:pos="8975"/>
        </w:tabs>
        <w:ind w:left="8975" w:hanging="180"/>
      </w:pPr>
    </w:lvl>
  </w:abstractNum>
  <w:num w:numId="1">
    <w:abstractNumId w:val="4"/>
  </w:num>
  <w:num w:numId="2">
    <w:abstractNumId w:val="4"/>
    <w:lvlOverride w:ilvl="0">
      <w:lvl w:ilvl="0">
        <w:start w:val="1"/>
        <w:numFmt w:val="decimal"/>
        <w:pStyle w:val="Normalnumber"/>
        <w:lvlText w:val="%1."/>
        <w:lvlJc w:val="left"/>
        <w:pPr>
          <w:tabs>
            <w:tab w:val="num" w:pos="1134"/>
          </w:tabs>
          <w:ind w:left="1247" w:firstLine="0"/>
        </w:pPr>
        <w:rPr>
          <w:rFonts w:hint="default"/>
          <w:sz w:val="24"/>
          <w:szCs w:val="24"/>
        </w:rPr>
      </w:lvl>
    </w:lvlOverride>
  </w:num>
  <w:num w:numId="3">
    <w:abstractNumId w:val="1"/>
    <w:lvlOverride w:ilvl="1">
      <w:lvl w:ilvl="1">
        <w:start w:val="1"/>
        <w:numFmt w:val="lowerLetter"/>
        <w:lvlText w:val="(%2)"/>
        <w:lvlJc w:val="left"/>
        <w:pPr>
          <w:tabs>
            <w:tab w:val="num" w:pos="567"/>
          </w:tabs>
          <w:ind w:left="1247" w:firstLine="567"/>
        </w:pPr>
        <w:rPr>
          <w:rFonts w:hint="default"/>
        </w:rPr>
      </w:lvl>
    </w:lvlOverride>
  </w:num>
  <w:num w:numId="4">
    <w:abstractNumId w:val="6"/>
    <w:lvlOverride w:ilvl="0">
      <w:lvl w:ilvl="0" w:tplc="9566D8DE">
        <w:start w:val="1"/>
        <w:numFmt w:val="decimal"/>
        <w:lvlText w:val="%1."/>
        <w:lvlJc w:val="left"/>
        <w:pPr>
          <w:tabs>
            <w:tab w:val="num" w:pos="3215"/>
          </w:tabs>
          <w:ind w:left="3215" w:hanging="360"/>
        </w:pPr>
        <w:rPr>
          <w:i w:val="0"/>
        </w:rPr>
      </w:lvl>
    </w:lvlOverride>
  </w:num>
  <w:num w:numId="5">
    <w:abstractNumId w:val="4"/>
    <w:lvlOverride w:ilvl="0">
      <w:lvl w:ilvl="0">
        <w:start w:val="1"/>
        <w:numFmt w:val="decimal"/>
        <w:pStyle w:val="Normalnumber"/>
        <w:lvlText w:val="%1."/>
        <w:lvlJc w:val="left"/>
        <w:pPr>
          <w:tabs>
            <w:tab w:val="num" w:pos="567"/>
          </w:tabs>
          <w:ind w:left="1247" w:firstLine="0"/>
        </w:pPr>
        <w:rPr>
          <w:rFonts w:hint="default"/>
        </w:rPr>
      </w:lvl>
    </w:lvlOverride>
    <w:lvlOverride w:ilvl="1">
      <w:lvl w:ilvl="1">
        <w:start w:val="1"/>
        <w:numFmt w:val="lowerLetter"/>
        <w:lvlText w:val="(%2)"/>
        <w:lvlJc w:val="left"/>
        <w:pPr>
          <w:tabs>
            <w:tab w:val="num" w:pos="567"/>
          </w:tabs>
          <w:ind w:left="1247" w:firstLine="567"/>
        </w:pPr>
        <w:rPr>
          <w:rFonts w:hint="default"/>
        </w:rPr>
      </w:lvl>
    </w:lvlOverride>
    <w:lvlOverride w:ilvl="2">
      <w:lvl w:ilvl="2">
        <w:start w:val="1"/>
        <w:numFmt w:val="chineseCounting"/>
        <w:lvlText w:val="（%3）"/>
        <w:lvlJc w:val="left"/>
        <w:pPr>
          <w:tabs>
            <w:tab w:val="num" w:pos="1336"/>
          </w:tabs>
          <w:ind w:left="3717" w:hanging="567"/>
        </w:pPr>
        <w:rPr>
          <w:rFonts w:hint="default"/>
          <w:sz w:val="20"/>
        </w:rPr>
      </w:lvl>
    </w:lvlOverride>
    <w:lvlOverride w:ilvl="3">
      <w:lvl w:ilvl="3">
        <w:start w:val="1"/>
        <w:numFmt w:val="lowerLetter"/>
        <w:lvlText w:val="%4."/>
        <w:lvlJc w:val="left"/>
        <w:pPr>
          <w:tabs>
            <w:tab w:val="num" w:pos="567"/>
          </w:tabs>
          <w:ind w:left="3515" w:hanging="567"/>
        </w:pPr>
        <w:rPr>
          <w:rFonts w:hint="default"/>
        </w:rPr>
      </w:lvl>
    </w:lvlOverride>
    <w:lvlOverride w:ilvl="4">
      <w:lvl w:ilvl="4">
        <w:start w:val="1"/>
        <w:numFmt w:val="lowerLetter"/>
        <w:lvlText w:val="%5."/>
        <w:lvlJc w:val="left"/>
        <w:pPr>
          <w:tabs>
            <w:tab w:val="num" w:pos="6548"/>
          </w:tabs>
          <w:ind w:left="6548" w:hanging="360"/>
        </w:pPr>
        <w:rPr>
          <w:rFonts w:hint="default"/>
        </w:rPr>
      </w:lvl>
    </w:lvlOverride>
    <w:lvlOverride w:ilvl="5">
      <w:lvl w:ilvl="5">
        <w:start w:val="1"/>
        <w:numFmt w:val="lowerRoman"/>
        <w:lvlText w:val="%6."/>
        <w:lvlJc w:val="right"/>
        <w:pPr>
          <w:tabs>
            <w:tab w:val="num" w:pos="7268"/>
          </w:tabs>
          <w:ind w:left="7268" w:hanging="180"/>
        </w:pPr>
        <w:rPr>
          <w:rFonts w:hint="default"/>
        </w:rPr>
      </w:lvl>
    </w:lvlOverride>
    <w:lvlOverride w:ilvl="6">
      <w:lvl w:ilvl="6">
        <w:start w:val="1"/>
        <w:numFmt w:val="decimal"/>
        <w:lvlText w:val="%7."/>
        <w:lvlJc w:val="left"/>
        <w:pPr>
          <w:tabs>
            <w:tab w:val="num" w:pos="7988"/>
          </w:tabs>
          <w:ind w:left="7988" w:hanging="360"/>
        </w:pPr>
        <w:rPr>
          <w:rFonts w:hint="default"/>
        </w:rPr>
      </w:lvl>
    </w:lvlOverride>
    <w:lvlOverride w:ilvl="7">
      <w:lvl w:ilvl="7">
        <w:start w:val="1"/>
        <w:numFmt w:val="lowerLetter"/>
        <w:lvlText w:val="%8."/>
        <w:lvlJc w:val="left"/>
        <w:pPr>
          <w:tabs>
            <w:tab w:val="num" w:pos="8708"/>
          </w:tabs>
          <w:ind w:left="8708" w:hanging="360"/>
        </w:pPr>
        <w:rPr>
          <w:rFonts w:hint="default"/>
        </w:rPr>
      </w:lvl>
    </w:lvlOverride>
    <w:lvlOverride w:ilvl="8">
      <w:lvl w:ilvl="8">
        <w:start w:val="1"/>
        <w:numFmt w:val="lowerRoman"/>
        <w:lvlText w:val="%9."/>
        <w:lvlJc w:val="right"/>
        <w:pPr>
          <w:tabs>
            <w:tab w:val="num" w:pos="9428"/>
          </w:tabs>
          <w:ind w:left="9428" w:hanging="180"/>
        </w:pPr>
        <w:rPr>
          <w:rFonts w:hint="default"/>
        </w:rPr>
      </w:lvl>
    </w:lvlOverride>
  </w:num>
  <w:num w:numId="6">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7">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8">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 w:numId="9">
    <w:abstractNumId w:val="4"/>
    <w:lvlOverride w:ilvl="0">
      <w:startOverride w:val="1"/>
      <w:lvl w:ilvl="0">
        <w:start w:val="1"/>
        <w:numFmt w:val="decimal"/>
        <w:pStyle w:val="Normalnumber"/>
        <w:lvlText w:val="%1."/>
        <w:lvlJc w:val="left"/>
        <w:pPr>
          <w:tabs>
            <w:tab w:val="num" w:pos="567"/>
          </w:tabs>
          <w:ind w:left="1247" w:firstLine="0"/>
        </w:pPr>
        <w:rPr>
          <w:rFonts w:hint="default"/>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10">
    <w:abstractNumId w:val="5"/>
  </w:num>
  <w:num w:numId="11">
    <w:abstractNumId w:val="0"/>
  </w:num>
  <w:num w:numId="12">
    <w:abstractNumId w:val="3"/>
    <w:lvlOverride w:ilvl="0">
      <w:lvl w:ilvl="0" w:tplc="6A8A974C">
        <w:start w:val="1"/>
        <w:numFmt w:val="decimal"/>
        <w:lvlText w:val="%1."/>
        <w:lvlJc w:val="left"/>
        <w:pPr>
          <w:ind w:left="2487" w:hanging="360"/>
        </w:pPr>
        <w:rPr>
          <w:rFonts w:hint="eastAsia"/>
          <w:b w:val="0"/>
          <w:i w:val="0"/>
          <w:sz w:val="24"/>
          <w:szCs w:val="24"/>
        </w:rPr>
      </w:lvl>
    </w:lvlOverride>
  </w:num>
  <w:num w:numId="13">
    <w:abstractNumId w:val="2"/>
    <w:lvlOverride w:ilvl="0">
      <w:lvl w:ilvl="0" w:tplc="EAFE9C00">
        <w:start w:val="1"/>
        <w:numFmt w:val="lowerLetter"/>
        <w:lvlText w:val="(%1)"/>
        <w:lvlJc w:val="left"/>
        <w:pPr>
          <w:ind w:left="72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86D"/>
    <w:rsid w:val="00101C68"/>
    <w:rsid w:val="001B78C8"/>
    <w:rsid w:val="0033786D"/>
    <w:rsid w:val="003516D7"/>
    <w:rsid w:val="004F3DC3"/>
    <w:rsid w:val="00582C37"/>
    <w:rsid w:val="006C58BB"/>
    <w:rsid w:val="009957B9"/>
    <w:rsid w:val="00E4523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4899D"/>
  <w15:chartTrackingRefBased/>
  <w15:docId w15:val="{4A045482-7CE6-4BD6-B442-8AE5605E5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786D"/>
    <w:pPr>
      <w:tabs>
        <w:tab w:val="left" w:pos="1247"/>
        <w:tab w:val="left" w:pos="1814"/>
        <w:tab w:val="left" w:pos="2381"/>
        <w:tab w:val="left" w:pos="2948"/>
        <w:tab w:val="left" w:pos="3515"/>
      </w:tabs>
      <w:spacing w:after="120" w:line="280" w:lineRule="exact"/>
      <w:jc w:val="both"/>
    </w:pPr>
    <w:rPr>
      <w:rFonts w:ascii="Times New Roman" w:eastAsia="SimSun" w:hAnsi="Times New Roman" w:cs="Times New Roman"/>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33786D"/>
    <w:pPr>
      <w:tabs>
        <w:tab w:val="left" w:pos="1247"/>
        <w:tab w:val="left" w:pos="1814"/>
        <w:tab w:val="left" w:pos="2381"/>
        <w:tab w:val="left" w:pos="2948"/>
        <w:tab w:val="left" w:pos="3515"/>
        <w:tab w:val="left" w:pos="4082"/>
      </w:tabs>
      <w:spacing w:after="0" w:line="240" w:lineRule="auto"/>
    </w:pPr>
    <w:rPr>
      <w:rFonts w:ascii="Times New Roman" w:eastAsia="SimSun" w:hAnsi="Times New Roman" w:cs="Times New Roman"/>
      <w:sz w:val="20"/>
      <w:szCs w:val="20"/>
      <w:lang w:val="en-GB" w:eastAsia="en-GB"/>
    </w:rPr>
  </w:style>
  <w:style w:type="numbering" w:customStyle="1" w:styleId="Normallist">
    <w:name w:val="Normal_list"/>
    <w:basedOn w:val="NoList"/>
    <w:rsid w:val="0033786D"/>
    <w:pPr>
      <w:numPr>
        <w:numId w:val="1"/>
      </w:numPr>
    </w:pPr>
  </w:style>
  <w:style w:type="paragraph" w:customStyle="1" w:styleId="NormalNonumber">
    <w:name w:val="Normal_No_number"/>
    <w:basedOn w:val="Normal"/>
    <w:link w:val="NormalNonumberChar"/>
    <w:qFormat/>
    <w:rsid w:val="0033786D"/>
    <w:pPr>
      <w:tabs>
        <w:tab w:val="left" w:pos="4082"/>
      </w:tabs>
      <w:spacing w:line="240" w:lineRule="auto"/>
      <w:ind w:left="1247"/>
      <w:jc w:val="left"/>
    </w:pPr>
    <w:rPr>
      <w:sz w:val="20"/>
      <w:szCs w:val="20"/>
      <w:lang w:val="en-GB" w:eastAsia="en-GB"/>
    </w:rPr>
  </w:style>
  <w:style w:type="paragraph" w:customStyle="1" w:styleId="Normalnumber">
    <w:name w:val="Normal_number"/>
    <w:basedOn w:val="Normal"/>
    <w:link w:val="NormalnumberChar"/>
    <w:qFormat/>
    <w:rsid w:val="0033786D"/>
    <w:pPr>
      <w:numPr>
        <w:numId w:val="1"/>
      </w:numPr>
      <w:tabs>
        <w:tab w:val="clear" w:pos="1247"/>
        <w:tab w:val="clear" w:pos="1814"/>
        <w:tab w:val="clear" w:pos="2381"/>
        <w:tab w:val="clear" w:pos="2948"/>
        <w:tab w:val="clear" w:pos="3515"/>
        <w:tab w:val="left" w:pos="624"/>
      </w:tabs>
      <w:spacing w:line="240" w:lineRule="auto"/>
      <w:jc w:val="left"/>
    </w:pPr>
    <w:rPr>
      <w:sz w:val="20"/>
      <w:szCs w:val="20"/>
      <w:lang w:val="en-GB" w:eastAsia="en-GB"/>
    </w:rPr>
  </w:style>
  <w:style w:type="character" w:customStyle="1" w:styleId="Normal-poolChar">
    <w:name w:val="Normal-pool Char"/>
    <w:link w:val="Normal-pool"/>
    <w:rsid w:val="0033786D"/>
    <w:rPr>
      <w:rFonts w:ascii="Times New Roman" w:eastAsia="SimSun" w:hAnsi="Times New Roman" w:cs="Times New Roman"/>
      <w:sz w:val="20"/>
      <w:szCs w:val="20"/>
      <w:lang w:val="en-GB" w:eastAsia="en-GB"/>
    </w:rPr>
  </w:style>
  <w:style w:type="character" w:customStyle="1" w:styleId="NormalnumberChar">
    <w:name w:val="Normal_number Char"/>
    <w:link w:val="Normalnumber"/>
    <w:rsid w:val="0033786D"/>
    <w:rPr>
      <w:rFonts w:ascii="Times New Roman" w:eastAsia="SimSun" w:hAnsi="Times New Roman" w:cs="Times New Roman"/>
      <w:sz w:val="20"/>
      <w:szCs w:val="20"/>
      <w:lang w:val="en-GB" w:eastAsia="en-GB"/>
    </w:rPr>
  </w:style>
  <w:style w:type="character" w:customStyle="1" w:styleId="NormalNonumberChar">
    <w:name w:val="Normal_No_number Char"/>
    <w:link w:val="NormalNonumber"/>
    <w:locked/>
    <w:rsid w:val="0033786D"/>
    <w:rPr>
      <w:rFonts w:ascii="Times New Roman" w:eastAsia="SimSun" w:hAnsi="Times New Roman" w:cs="Times New Roman"/>
      <w:sz w:val="20"/>
      <w:szCs w:val="20"/>
      <w:lang w:val="en-GB" w:eastAsia="en-GB"/>
    </w:rPr>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stylish,Footnote"/>
    <w:basedOn w:val="DefaultParagraphFont"/>
    <w:link w:val="BVIfnrCharCharCharChar"/>
    <w:uiPriority w:val="99"/>
    <w:qFormat/>
    <w:rsid w:val="006C58BB"/>
    <w:rPr>
      <w:rFonts w:ascii="Times New Roman" w:eastAsia="SimSun" w:hAnsi="Times New Roman"/>
      <w:color w:val="000000"/>
      <w:spacing w:val="-5"/>
      <w:w w:val="130"/>
      <w:position w:val="-4"/>
      <w:sz w:val="20"/>
      <w:szCs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DNV-FT,f,fn,Ch"/>
    <w:link w:val="FootnoteTextChar"/>
    <w:qFormat/>
    <w:rsid w:val="006C58BB"/>
    <w:pPr>
      <w:spacing w:before="20" w:after="0" w:line="210" w:lineRule="exact"/>
      <w:ind w:left="475" w:hanging="475"/>
    </w:pPr>
    <w:rPr>
      <w:rFonts w:ascii="Times New Roman" w:eastAsia="SimSun" w:hAnsi="Times New Roman" w:cs="Times New Roman"/>
      <w:noProof/>
      <w:spacing w:val="5"/>
      <w:w w:val="104"/>
      <w:kern w:val="14"/>
      <w:sz w:val="18"/>
      <w:szCs w:val="20"/>
      <w:lang w:val="en-GB" w:eastAsia="en-GB"/>
    </w:rPr>
  </w:style>
  <w:style w:type="character" w:customStyle="1" w:styleId="FootnoteTextChar">
    <w:name w:val="Footnote Text Char"/>
    <w:aliases w:val="Geneva 9 Char,Font: Geneva 9 Char,Boston 10 Char,93 Char,single space Char,Footnote Text Rail EIS Char,ft Char,Char Char,footnote3 Char,Footnotes Char,Footnote ak Char,fn cafc Char,Footnotes Char Char Char,Footnote Text Char Char Char"/>
    <w:basedOn w:val="DefaultParagraphFont"/>
    <w:link w:val="FootnoteText"/>
    <w:rsid w:val="006C58BB"/>
    <w:rPr>
      <w:rFonts w:ascii="Times New Roman" w:eastAsia="SimSun" w:hAnsi="Times New Roman" w:cs="Times New Roman"/>
      <w:noProof/>
      <w:spacing w:val="5"/>
      <w:w w:val="104"/>
      <w:kern w:val="14"/>
      <w:sz w:val="18"/>
      <w:szCs w:val="20"/>
      <w:lang w:val="en-GB" w:eastAsia="en-GB"/>
    </w:rPr>
  </w:style>
  <w:style w:type="paragraph" w:customStyle="1" w:styleId="BBTitle">
    <w:name w:val="BB_Title"/>
    <w:basedOn w:val="Normal"/>
    <w:link w:val="BBTitleChar"/>
    <w:rsid w:val="006C58BB"/>
    <w:pPr>
      <w:keepNext/>
      <w:keepLines/>
      <w:tabs>
        <w:tab w:val="left" w:pos="4082"/>
      </w:tabs>
      <w:suppressAutoHyphens/>
      <w:spacing w:before="320" w:after="240" w:line="240" w:lineRule="auto"/>
      <w:ind w:left="1247" w:right="567"/>
      <w:jc w:val="left"/>
    </w:pPr>
    <w:rPr>
      <w:b/>
      <w:sz w:val="28"/>
      <w:szCs w:val="28"/>
      <w:lang w:val="en-GB" w:eastAsia="en-GB"/>
    </w:rPr>
  </w:style>
  <w:style w:type="character" w:customStyle="1" w:styleId="BBTitleChar">
    <w:name w:val="BB_Title Char"/>
    <w:link w:val="BBTitle"/>
    <w:rsid w:val="006C58BB"/>
    <w:rPr>
      <w:rFonts w:ascii="Times New Roman" w:eastAsia="SimSun" w:hAnsi="Times New Roman" w:cs="Times New Roman"/>
      <w:b/>
      <w:sz w:val="28"/>
      <w:szCs w:val="28"/>
      <w:lang w:val="en-GB" w:eastAsia="en-GB"/>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6C58BB"/>
    <w:pPr>
      <w:tabs>
        <w:tab w:val="clear" w:pos="1247"/>
        <w:tab w:val="clear" w:pos="1814"/>
        <w:tab w:val="clear" w:pos="2381"/>
        <w:tab w:val="clear" w:pos="2948"/>
        <w:tab w:val="clear" w:pos="3515"/>
      </w:tabs>
      <w:spacing w:before="120" w:after="160" w:line="240" w:lineRule="exact"/>
    </w:pPr>
    <w:rPr>
      <w:rFonts w:cstheme="minorBidi"/>
      <w:color w:val="000000"/>
      <w:spacing w:val="-5"/>
      <w:w w:val="130"/>
      <w:position w:val="-4"/>
      <w:sz w:val="20"/>
      <w:szCs w:val="18"/>
      <w:vertAlign w:val="superscript"/>
    </w:rPr>
  </w:style>
  <w:style w:type="paragraph" w:styleId="ListParagraph">
    <w:name w:val="List Paragraph"/>
    <w:basedOn w:val="Normal"/>
    <w:uiPriority w:val="34"/>
    <w:qFormat/>
    <w:rsid w:val="009957B9"/>
    <w:pPr>
      <w:tabs>
        <w:tab w:val="clear" w:pos="1247"/>
        <w:tab w:val="clear" w:pos="1814"/>
        <w:tab w:val="clear" w:pos="2381"/>
        <w:tab w:val="clear" w:pos="2948"/>
        <w:tab w:val="clear" w:pos="3515"/>
      </w:tabs>
      <w:spacing w:after="160" w:line="259" w:lineRule="auto"/>
      <w:ind w:left="720"/>
      <w:contextualSpacing/>
      <w:jc w:val="left"/>
    </w:pPr>
    <w:rPr>
      <w:rFonts w:asciiTheme="minorHAnsi" w:eastAsiaTheme="minorEastAsia" w:hAnsiTheme="minorHAnsi" w:cstheme="minorBidi"/>
      <w:sz w:val="22"/>
      <w:szCs w:val="22"/>
    </w:rPr>
  </w:style>
  <w:style w:type="paragraph" w:styleId="NormalWeb">
    <w:name w:val="Normal (Web)"/>
    <w:basedOn w:val="Normal"/>
    <w:uiPriority w:val="99"/>
    <w:unhideWhenUsed/>
    <w:rsid w:val="003516D7"/>
    <w:pPr>
      <w:tabs>
        <w:tab w:val="clear" w:pos="1247"/>
        <w:tab w:val="clear" w:pos="1814"/>
        <w:tab w:val="clear" w:pos="2381"/>
        <w:tab w:val="clear" w:pos="2948"/>
        <w:tab w:val="clear" w:pos="3515"/>
      </w:tabs>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2019-11-27T20:50:00Z</dcterms:created>
  <dcterms:modified xsi:type="dcterms:W3CDTF">2019-11-27T20:50:00Z</dcterms:modified>
</cp:coreProperties>
</file>