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47E" w:rsidRPr="0024275F" w:rsidRDefault="00B9447E" w:rsidP="00B9447E">
      <w:pPr>
        <w:spacing w:after="240" w:line="400" w:lineRule="exact"/>
        <w:ind w:left="1134"/>
        <w:jc w:val="both"/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</w:pP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المقرر </w:t>
      </w:r>
      <w:r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>ا</w:t>
      </w: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ر-8/1: عمل لجنة استعراض المواد الكيميائية</w:t>
      </w:r>
    </w:p>
    <w:p w:rsidR="00B9447E" w:rsidRPr="004574FB" w:rsidRDefault="00B9447E" w:rsidP="00B9447E">
      <w:pPr>
        <w:spacing w:before="120" w:after="120" w:line="400" w:lineRule="exact"/>
        <w:ind w:left="1842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4574FB">
        <w:rPr>
          <w:rFonts w:ascii="Calibri" w:eastAsia="Calibri" w:hAnsi="Calibri" w:cs="Traditional Arabic"/>
          <w:i/>
          <w:iCs/>
          <w:noProof w:val="0"/>
          <w:szCs w:val="30"/>
          <w:rtl/>
        </w:rPr>
        <w:t>إن مؤتمر الأطراف،</w:t>
      </w:r>
    </w:p>
    <w:p w:rsidR="00B9447E" w:rsidRPr="000B1AB3" w:rsidRDefault="00B9447E" w:rsidP="00B9447E">
      <w:pPr>
        <w:tabs>
          <w:tab w:val="left" w:pos="2267"/>
        </w:tabs>
        <w:spacing w:before="120"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FE3CAB">
        <w:rPr>
          <w:rFonts w:ascii="Calibri" w:eastAsia="Calibri" w:hAnsi="Calibri" w:cs="Traditional Arabic"/>
          <w:noProof w:val="0"/>
          <w:szCs w:val="30"/>
          <w:rtl/>
        </w:rPr>
        <w:t>1</w:t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>-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ab/>
      </w:r>
      <w:r w:rsidRPr="000B1AB3">
        <w:rPr>
          <w:rFonts w:ascii="Calibri" w:eastAsia="Calibri" w:hAnsi="Calibri" w:cs="Traditional Arabic"/>
          <w:i/>
          <w:iCs/>
          <w:noProof w:val="0"/>
          <w:szCs w:val="30"/>
          <w:rtl/>
        </w:rPr>
        <w:t>يحيط علماً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 xml:space="preserve"> بالمعلومات المقدمة في تقريري لجنة استعراض المواد الكيميائية عن أعمال اجتماعيها الحادي عشر والثاني عشر</w:t>
      </w:r>
      <w:r w:rsidRPr="00D66075">
        <w:rPr>
          <w:rFonts w:ascii="Traditional Arabic" w:hAnsi="Traditional Arabic" w:cs="Traditional Arabic"/>
          <w:noProof w:val="0"/>
          <w:sz w:val="30"/>
          <w:szCs w:val="30"/>
          <w:vertAlign w:val="superscript"/>
          <w:rtl/>
          <w:lang w:eastAsia="zh-TW"/>
        </w:rPr>
        <w:t>(</w:t>
      </w:r>
      <w:r w:rsidRPr="00D66075">
        <w:rPr>
          <w:rStyle w:val="FootnoteReference"/>
          <w:rFonts w:ascii="Traditional Arabic" w:hAnsi="Traditional Arabic" w:cs="Traditional Arabic"/>
          <w:noProof w:val="0"/>
          <w:sz w:val="30"/>
          <w:szCs w:val="30"/>
          <w:rtl/>
          <w:lang w:eastAsia="zh-TW"/>
        </w:rPr>
        <w:footnoteReference w:id="1"/>
      </w:r>
      <w:r w:rsidRPr="00D66075">
        <w:rPr>
          <w:rFonts w:ascii="Traditional Arabic" w:hAnsi="Traditional Arabic" w:cs="Traditional Arabic"/>
          <w:noProof w:val="0"/>
          <w:sz w:val="30"/>
          <w:szCs w:val="30"/>
          <w:vertAlign w:val="superscript"/>
          <w:rtl/>
          <w:lang w:eastAsia="zh-TW"/>
        </w:rPr>
        <w:t>)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>؛</w:t>
      </w:r>
    </w:p>
    <w:p w:rsidR="00B9447E" w:rsidRPr="000B1AB3" w:rsidRDefault="00B9447E" w:rsidP="00B9447E">
      <w:pPr>
        <w:tabs>
          <w:tab w:val="left" w:pos="2267"/>
        </w:tabs>
        <w:spacing w:before="120"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B1AB3">
        <w:rPr>
          <w:rFonts w:ascii="Calibri" w:eastAsia="Calibri" w:hAnsi="Calibri" w:cs="Traditional Arabic"/>
          <w:noProof w:val="0"/>
          <w:szCs w:val="30"/>
          <w:rtl/>
        </w:rPr>
        <w:t>2</w:t>
      </w:r>
      <w:r>
        <w:rPr>
          <w:rFonts w:ascii="Calibri" w:eastAsia="Calibri" w:hAnsi="Calibri" w:cs="Traditional Arabic"/>
          <w:noProof w:val="0"/>
          <w:szCs w:val="30"/>
          <w:rtl/>
        </w:rPr>
        <w:t>-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ab/>
      </w:r>
      <w:r w:rsidRPr="000B1AB3">
        <w:rPr>
          <w:rFonts w:ascii="Calibri" w:eastAsia="Calibri" w:hAnsi="Calibri" w:cs="Traditional Arabic"/>
          <w:i/>
          <w:iCs/>
          <w:noProof w:val="0"/>
          <w:szCs w:val="30"/>
          <w:rtl/>
        </w:rPr>
        <w:t>يعي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>ِّ</w:t>
      </w:r>
      <w:r w:rsidRPr="000B1AB3">
        <w:rPr>
          <w:rFonts w:ascii="Calibri" w:eastAsia="Calibri" w:hAnsi="Calibri" w:cs="Traditional Arabic"/>
          <w:i/>
          <w:iCs/>
          <w:noProof w:val="0"/>
          <w:szCs w:val="30"/>
          <w:rtl/>
        </w:rPr>
        <w:t>ن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>
        <w:rPr>
          <w:rFonts w:ascii="Calibri" w:eastAsia="Calibri" w:hAnsi="Calibri" w:cs="Traditional Arabic"/>
          <w:noProof w:val="0"/>
          <w:szCs w:val="30"/>
          <w:rtl/>
        </w:rPr>
        <w:t>الخبراء المعينين البالغ عددهم 14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 xml:space="preserve">خبيراً </w:t>
      </w:r>
      <w:r>
        <w:rPr>
          <w:rFonts w:ascii="Calibri" w:eastAsia="Calibri" w:hAnsi="Calibri" w:cs="Traditional Arabic"/>
          <w:noProof w:val="0"/>
          <w:szCs w:val="30"/>
          <w:rtl/>
        </w:rPr>
        <w:t>والواردة أسماؤهم في مذكرة الأمانة</w:t>
      </w:r>
      <w:r w:rsidRPr="00FB6342">
        <w:rPr>
          <w:rFonts w:ascii="Calibri" w:eastAsia="Calibri" w:hAnsi="Calibri" w:cs="Traditional Arabic"/>
          <w:noProof w:val="0"/>
          <w:sz w:val="30"/>
          <w:szCs w:val="30"/>
          <w:vertAlign w:val="superscript"/>
          <w:rtl/>
        </w:rPr>
        <w:t>(</w:t>
      </w:r>
      <w:r w:rsidRPr="00FB6342">
        <w:rPr>
          <w:rStyle w:val="FootnoteReference"/>
          <w:rFonts w:ascii="Traditional Arabic" w:hAnsi="Traditional Arabic" w:cs="Traditional Arabic"/>
          <w:noProof w:val="0"/>
          <w:sz w:val="30"/>
          <w:szCs w:val="30"/>
          <w:rtl/>
          <w:lang w:val="en-GB" w:eastAsia="zh-TW"/>
        </w:rPr>
        <w:footnoteReference w:id="2"/>
      </w:r>
      <w:r w:rsidRPr="00FB6342">
        <w:rPr>
          <w:rFonts w:ascii="Calibri" w:eastAsia="Calibri" w:hAnsi="Calibri" w:cs="Traditional Arabic"/>
          <w:noProof w:val="0"/>
          <w:sz w:val="30"/>
          <w:szCs w:val="30"/>
          <w:vertAlign w:val="superscript"/>
          <w:rtl/>
        </w:rPr>
        <w:t>)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 xml:space="preserve"> للعمل كأعضاء في اللجنة في الفترة من 1 أيار/مايو 2016 إلى 30 نيسان/أبريل 2020، ويؤكد تعيين السيد افتخار الحسن شاه غيلاني (باكستان) ليحل محل مواطنته السيدة خالدة بشير، كعضو في اللجنة حتى نهاية فترة عضوي</w:t>
      </w:r>
      <w:r>
        <w:rPr>
          <w:rFonts w:ascii="Calibri" w:eastAsia="Calibri" w:hAnsi="Calibri" w:cs="Traditional Arabic"/>
          <w:noProof w:val="0"/>
          <w:szCs w:val="30"/>
          <w:rtl/>
        </w:rPr>
        <w:t>ة السيدة بشير، أي حتى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 xml:space="preserve"> 30 نيسان/أبريل 2018؛</w:t>
      </w:r>
    </w:p>
    <w:p w:rsidR="00B9447E" w:rsidRPr="000B1AB3" w:rsidRDefault="00B9447E" w:rsidP="00B9447E">
      <w:pPr>
        <w:tabs>
          <w:tab w:val="left" w:pos="2267"/>
        </w:tabs>
        <w:spacing w:before="120"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B1AB3">
        <w:rPr>
          <w:rFonts w:ascii="Calibri" w:eastAsia="Calibri" w:hAnsi="Calibri" w:cs="Traditional Arabic"/>
          <w:noProof w:val="0"/>
          <w:szCs w:val="30"/>
          <w:rtl/>
        </w:rPr>
        <w:t>3</w:t>
      </w:r>
      <w:r>
        <w:rPr>
          <w:rFonts w:ascii="Calibri" w:eastAsia="Calibri" w:hAnsi="Calibri" w:cs="Traditional Arabic"/>
          <w:noProof w:val="0"/>
          <w:szCs w:val="30"/>
          <w:rtl/>
        </w:rPr>
        <w:t>-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ab/>
      </w:r>
      <w:r w:rsidRPr="00F31121">
        <w:rPr>
          <w:rFonts w:ascii="Calibri" w:eastAsia="Calibri" w:hAnsi="Calibri" w:cs="Traditional Arabic"/>
          <w:i/>
          <w:iCs/>
          <w:noProof w:val="0"/>
          <w:szCs w:val="30"/>
          <w:rtl/>
        </w:rPr>
        <w:t>ويعين أيضاً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 xml:space="preserve"> الخبراء المعينين البالغ عددهم 17 خبيراً والواردة أسماؤهم في مرفق هذا المقرر للعمل كأعضاء في اللجنة لفترة عضوية تمتد من 1 أيار/مايو 2018 إلى 30 نيسان/أبريل 20</w:t>
      </w:r>
      <w:r>
        <w:rPr>
          <w:rFonts w:ascii="Calibri" w:eastAsia="Calibri" w:hAnsi="Calibri" w:cs="Traditional Arabic"/>
          <w:noProof w:val="0"/>
          <w:szCs w:val="30"/>
          <w:rtl/>
        </w:rPr>
        <w:t>22</w:t>
      </w:r>
      <w:r>
        <w:rPr>
          <w:rFonts w:ascii="Calibri" w:eastAsia="Calibri" w:hAnsi="Calibri" w:cs="Traditional Arabic"/>
          <w:noProof w:val="0"/>
          <w:szCs w:val="30"/>
          <w:vertAlign w:val="superscript"/>
          <w:rtl/>
        </w:rPr>
        <w:t>(</w:t>
      </w:r>
      <w:r w:rsidRPr="008B18F1">
        <w:rPr>
          <w:rStyle w:val="FootnoteReference"/>
          <w:rFonts w:ascii="Traditional Arabic" w:hAnsi="Traditional Arabic" w:cs="Traditional Arabic"/>
          <w:noProof w:val="0"/>
          <w:sz w:val="28"/>
          <w:rtl/>
          <w:lang w:val="en-GB" w:eastAsia="zh-TW"/>
        </w:rPr>
        <w:footnoteReference w:id="3"/>
      </w:r>
      <w:r>
        <w:rPr>
          <w:rFonts w:ascii="Calibri" w:eastAsia="Calibri" w:hAnsi="Calibri" w:cs="Traditional Arabic"/>
          <w:noProof w:val="0"/>
          <w:szCs w:val="30"/>
          <w:vertAlign w:val="superscript"/>
          <w:rtl/>
        </w:rPr>
        <w:t>)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>؛</w:t>
      </w:r>
    </w:p>
    <w:p w:rsidR="00B9447E" w:rsidRPr="000B1AB3" w:rsidRDefault="00B9447E" w:rsidP="00B9447E">
      <w:pPr>
        <w:tabs>
          <w:tab w:val="left" w:pos="2267"/>
        </w:tabs>
        <w:spacing w:before="120"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B1AB3">
        <w:rPr>
          <w:rFonts w:ascii="Calibri" w:eastAsia="Calibri" w:hAnsi="Calibri" w:cs="Traditional Arabic"/>
          <w:noProof w:val="0"/>
          <w:szCs w:val="30"/>
          <w:rtl/>
        </w:rPr>
        <w:t>4-</w:t>
      </w:r>
      <w:r>
        <w:rPr>
          <w:rFonts w:ascii="Calibri" w:eastAsia="Calibri" w:hAnsi="Calibri" w:cs="Traditional Arabic"/>
          <w:noProof w:val="0"/>
          <w:szCs w:val="30"/>
          <w:rtl/>
        </w:rPr>
        <w:tab/>
      </w:r>
      <w:r w:rsidRPr="00F31121">
        <w:rPr>
          <w:rFonts w:ascii="Calibri" w:eastAsia="Calibri" w:hAnsi="Calibri" w:cs="Traditional Arabic"/>
          <w:i/>
          <w:iCs/>
          <w:noProof w:val="0"/>
          <w:szCs w:val="30"/>
          <w:rtl/>
        </w:rPr>
        <w:t>يطلب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 xml:space="preserve"> إلى لجنة استعراض المواد الكيميائية أن تحدد في اجتماعها الثالث عشر رئيساً مؤقتاً للجنة لاجتماعها الرابع عشر، ويقرر أن ينظر في انتخاب رئيس اللجنة في اجتماعه التاسع؛</w:t>
      </w:r>
    </w:p>
    <w:p w:rsidR="00B9447E" w:rsidRDefault="00B9447E" w:rsidP="00B9447E">
      <w:pPr>
        <w:tabs>
          <w:tab w:val="left" w:pos="1842"/>
          <w:tab w:val="left" w:pos="2267"/>
        </w:tabs>
        <w:spacing w:before="120" w:after="240" w:line="400" w:lineRule="exact"/>
        <w:ind w:left="1134" w:firstLine="567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B1AB3">
        <w:rPr>
          <w:rFonts w:ascii="Calibri" w:eastAsia="Calibri" w:hAnsi="Calibri" w:cs="Traditional Arabic"/>
          <w:noProof w:val="0"/>
          <w:szCs w:val="30"/>
          <w:rtl/>
        </w:rPr>
        <w:t>5</w:t>
      </w:r>
      <w:r>
        <w:rPr>
          <w:rFonts w:ascii="Calibri" w:eastAsia="Calibri" w:hAnsi="Calibri" w:cs="Traditional Arabic"/>
          <w:noProof w:val="0"/>
          <w:szCs w:val="30"/>
          <w:rtl/>
        </w:rPr>
        <w:t>-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ab/>
      </w:r>
      <w:r w:rsidRPr="00F31121">
        <w:rPr>
          <w:rFonts w:ascii="Calibri" w:eastAsia="Calibri" w:hAnsi="Calibri" w:cs="Traditional Arabic"/>
          <w:i/>
          <w:iCs/>
          <w:noProof w:val="0"/>
          <w:szCs w:val="30"/>
          <w:rtl/>
        </w:rPr>
        <w:t>يحيط علماً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 xml:space="preserve"> بأن الأمانة عقدت حلقة عمل توجيهية للأعضاء الجدد ويطلب إلى الأمانة أن تواصل، رهناً بتوافر الموا</w:t>
      </w:r>
      <w:r>
        <w:rPr>
          <w:rFonts w:ascii="Calibri" w:eastAsia="Calibri" w:hAnsi="Calibri" w:cs="Traditional Arabic"/>
          <w:noProof w:val="0"/>
          <w:szCs w:val="30"/>
          <w:rtl/>
        </w:rPr>
        <w:t>ر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>د، تنظيم المزيد من هذه الحلقات وأن تقدم تقريراً عن نتائجها إلى مؤتمر الأطراف في اجتماعه ال</w:t>
      </w:r>
      <w:r>
        <w:rPr>
          <w:rFonts w:ascii="Calibri" w:eastAsia="Calibri" w:hAnsi="Calibri" w:cs="Traditional Arabic"/>
          <w:noProof w:val="0"/>
          <w:szCs w:val="30"/>
          <w:rtl/>
        </w:rPr>
        <w:t>تاسع</w:t>
      </w:r>
      <w:r w:rsidRPr="000B1AB3">
        <w:rPr>
          <w:rFonts w:ascii="Calibri" w:eastAsia="Calibri" w:hAnsi="Calibri" w:cs="Traditional Arabic"/>
          <w:noProof w:val="0"/>
          <w:szCs w:val="30"/>
          <w:rtl/>
        </w:rPr>
        <w:t>.</w:t>
      </w:r>
    </w:p>
    <w:p w:rsidR="00B9447E" w:rsidRPr="0024275F" w:rsidRDefault="00B9447E" w:rsidP="00B9447E">
      <w:pPr>
        <w:tabs>
          <w:tab w:val="left" w:pos="2409"/>
        </w:tabs>
        <w:spacing w:before="120" w:after="120" w:line="400" w:lineRule="exact"/>
        <w:ind w:left="1134"/>
        <w:jc w:val="both"/>
        <w:rPr>
          <w:rFonts w:ascii="Calibri" w:eastAsia="Calibri" w:hAnsi="Calibri" w:cs="Traditional Arabic"/>
          <w:b/>
          <w:bCs/>
          <w:noProof w:val="0"/>
          <w:sz w:val="32"/>
          <w:szCs w:val="32"/>
          <w:rtl/>
        </w:rPr>
      </w:pPr>
      <w:r w:rsidRPr="0024275F">
        <w:rPr>
          <w:rFonts w:ascii="Calibri" w:eastAsia="Calibri" w:hAnsi="Calibri" w:cs="Traditional Arabic"/>
          <w:b/>
          <w:bCs/>
          <w:noProof w:val="0"/>
          <w:sz w:val="32"/>
          <w:szCs w:val="32"/>
          <w:rtl/>
        </w:rPr>
        <w:t>مرفق المقرر ا ر-8/1</w:t>
      </w:r>
    </w:p>
    <w:p w:rsidR="00B9447E" w:rsidRPr="000B1AB3" w:rsidRDefault="00B9447E" w:rsidP="00B9447E">
      <w:pPr>
        <w:tabs>
          <w:tab w:val="left" w:pos="2409"/>
        </w:tabs>
        <w:spacing w:before="120" w:after="120" w:line="400" w:lineRule="exact"/>
        <w:ind w:left="1134"/>
        <w:jc w:val="both"/>
        <w:rPr>
          <w:rFonts w:ascii="Calibri" w:eastAsia="Calibri" w:hAnsi="Calibri" w:cs="Traditional Arabic"/>
          <w:b/>
          <w:bCs/>
          <w:noProof w:val="0"/>
          <w:szCs w:val="30"/>
          <w:rtl/>
        </w:rPr>
      </w:pPr>
      <w:r>
        <w:rPr>
          <w:rFonts w:ascii="Calibri" w:eastAsia="Calibri" w:hAnsi="Calibri" w:cs="Traditional Arabic"/>
          <w:b/>
          <w:bCs/>
          <w:noProof w:val="0"/>
          <w:szCs w:val="30"/>
          <w:rtl/>
        </w:rPr>
        <w:t>الأعضاء</w:t>
      </w:r>
      <w:r w:rsidRPr="000B1AB3">
        <w:rPr>
          <w:rFonts w:ascii="Calibri" w:eastAsia="Calibri" w:hAnsi="Calibri" w:cs="Traditional Arabic"/>
          <w:b/>
          <w:bCs/>
          <w:noProof w:val="0"/>
          <w:szCs w:val="30"/>
          <w:rtl/>
        </w:rPr>
        <w:t xml:space="preserve"> </w:t>
      </w:r>
      <w:r>
        <w:rPr>
          <w:rFonts w:ascii="Calibri" w:eastAsia="Calibri" w:hAnsi="Calibri" w:cs="Traditional Arabic"/>
          <w:b/>
          <w:bCs/>
          <w:noProof w:val="0"/>
          <w:szCs w:val="30"/>
          <w:rtl/>
        </w:rPr>
        <w:t xml:space="preserve">الذين عينتهم الأطراف </w:t>
      </w:r>
      <w:r w:rsidRPr="000B1AB3">
        <w:rPr>
          <w:rFonts w:ascii="Calibri" w:eastAsia="Calibri" w:hAnsi="Calibri" w:cs="Traditional Arabic"/>
          <w:b/>
          <w:bCs/>
          <w:noProof w:val="0"/>
          <w:szCs w:val="30"/>
          <w:rtl/>
        </w:rPr>
        <w:t xml:space="preserve">في لجنة استعراض المواد الكيميائية </w:t>
      </w:r>
      <w:r>
        <w:rPr>
          <w:rFonts w:ascii="Calibri" w:eastAsia="Calibri" w:hAnsi="Calibri" w:cs="Traditional Arabic"/>
          <w:b/>
          <w:bCs/>
          <w:noProof w:val="0"/>
          <w:szCs w:val="30"/>
          <w:rtl/>
        </w:rPr>
        <w:t>و</w:t>
      </w:r>
      <w:r w:rsidRPr="000B1AB3">
        <w:rPr>
          <w:rFonts w:ascii="Calibri" w:eastAsia="Calibri" w:hAnsi="Calibri" w:cs="Traditional Arabic"/>
          <w:b/>
          <w:bCs/>
          <w:noProof w:val="0"/>
          <w:szCs w:val="30"/>
          <w:rtl/>
        </w:rPr>
        <w:t>تبدأ فترة ولايتهم في 1 أيار/مايو 2018</w:t>
      </w:r>
    </w:p>
    <w:p w:rsidR="00B9447E" w:rsidRPr="00F039BA" w:rsidRDefault="00B9447E" w:rsidP="00B9447E">
      <w:pPr>
        <w:tabs>
          <w:tab w:val="left" w:pos="1842"/>
        </w:tabs>
        <w:spacing w:before="120" w:line="400" w:lineRule="exact"/>
        <w:ind w:left="1134"/>
        <w:jc w:val="both"/>
        <w:rPr>
          <w:rFonts w:ascii="Calibri" w:eastAsia="Calibri" w:hAnsi="Calibri" w:cs="Traditional Arabic"/>
          <w:b/>
          <w:bCs/>
          <w:noProof w:val="0"/>
          <w:szCs w:val="30"/>
          <w:rtl/>
        </w:rPr>
      </w:pPr>
      <w:r w:rsidRPr="00F039BA">
        <w:rPr>
          <w:rFonts w:ascii="Calibri" w:eastAsia="Calibri" w:hAnsi="Calibri" w:cs="Traditional Arabic"/>
          <w:b/>
          <w:bCs/>
          <w:noProof w:val="0"/>
          <w:szCs w:val="30"/>
          <w:rtl/>
        </w:rPr>
        <w:t>الدول الأفريقية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 فكتور نغوكا (الكونغو)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 جوزيف كانتامانتو إدمند (غانا)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 كريستيان سيكومو بيرامي (رواندا)</w:t>
      </w:r>
    </w:p>
    <w:p w:rsidR="00B9447E" w:rsidRDefault="00B9447E" w:rsidP="00B9447E">
      <w:pPr>
        <w:spacing w:after="120"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السيدة نولوزوكو غوايي (جنوب أفريقيا)</w:t>
      </w:r>
    </w:p>
    <w:p w:rsidR="00B9447E" w:rsidRPr="00F039BA" w:rsidRDefault="00B9447E" w:rsidP="00B9447E">
      <w:pPr>
        <w:tabs>
          <w:tab w:val="left" w:pos="1842"/>
        </w:tabs>
        <w:spacing w:before="120" w:line="400" w:lineRule="exact"/>
        <w:ind w:left="1134"/>
        <w:jc w:val="both"/>
        <w:rPr>
          <w:rFonts w:ascii="Calibri" w:eastAsia="Calibri" w:hAnsi="Calibri" w:cs="Traditional Arabic"/>
          <w:b/>
          <w:bCs/>
          <w:noProof w:val="0"/>
          <w:szCs w:val="30"/>
          <w:rtl/>
        </w:rPr>
      </w:pPr>
      <w:r w:rsidRPr="00F039BA">
        <w:rPr>
          <w:rFonts w:ascii="Calibri" w:eastAsia="Calibri" w:hAnsi="Calibri" w:cs="Traditional Arabic"/>
          <w:b/>
          <w:bCs/>
          <w:noProof w:val="0"/>
          <w:szCs w:val="30"/>
          <w:rtl/>
        </w:rPr>
        <w:t>دول آسيا ومنطقة المحيط الهادئ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السيدة سون جينيي (الصين)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lastRenderedPageBreak/>
        <w:t>السيد شنكار براساد بوديل (نيبال)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 افتخار الحسن غيلاني (باكستان)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b/>
          <w:bCs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 نوانسري تايابوتش (تايلند)</w:t>
      </w:r>
    </w:p>
    <w:p w:rsidR="00B9447E" w:rsidRPr="00F039BA" w:rsidRDefault="00B9447E" w:rsidP="00B9447E">
      <w:pPr>
        <w:tabs>
          <w:tab w:val="left" w:pos="1842"/>
        </w:tabs>
        <w:spacing w:before="120" w:line="400" w:lineRule="exact"/>
        <w:ind w:left="1134"/>
        <w:jc w:val="both"/>
        <w:rPr>
          <w:rFonts w:ascii="Calibri" w:eastAsia="Calibri" w:hAnsi="Calibri" w:cs="Traditional Arabic"/>
          <w:b/>
          <w:bCs/>
          <w:noProof w:val="0"/>
          <w:szCs w:val="30"/>
          <w:rtl/>
        </w:rPr>
      </w:pPr>
      <w:r w:rsidRPr="00F039BA">
        <w:rPr>
          <w:rFonts w:ascii="Calibri" w:eastAsia="Calibri" w:hAnsi="Calibri" w:cs="Traditional Arabic"/>
          <w:b/>
          <w:bCs/>
          <w:noProof w:val="0"/>
          <w:szCs w:val="30"/>
          <w:rtl/>
        </w:rPr>
        <w:t>دول أوروبا الوسطى والشرقية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السيدة ليغار وبيني (لاتفيا)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السيدة دوروتا فياديرنا (بولندا)</w:t>
      </w:r>
    </w:p>
    <w:p w:rsidR="00B9447E" w:rsidRPr="00F039BA" w:rsidRDefault="00B9447E" w:rsidP="00B9447E">
      <w:pPr>
        <w:tabs>
          <w:tab w:val="left" w:pos="1842"/>
        </w:tabs>
        <w:spacing w:before="120" w:line="400" w:lineRule="exact"/>
        <w:ind w:left="1134"/>
        <w:jc w:val="both"/>
        <w:rPr>
          <w:rFonts w:ascii="Calibri" w:eastAsia="Calibri" w:hAnsi="Calibri" w:cs="Traditional Arabic"/>
          <w:b/>
          <w:bCs/>
          <w:noProof w:val="0"/>
          <w:szCs w:val="30"/>
          <w:rtl/>
        </w:rPr>
      </w:pPr>
      <w:r w:rsidRPr="00F039BA">
        <w:rPr>
          <w:rFonts w:ascii="Calibri" w:eastAsia="Calibri" w:hAnsi="Calibri" w:cs="Traditional Arabic"/>
          <w:b/>
          <w:bCs/>
          <w:noProof w:val="0"/>
          <w:szCs w:val="30"/>
          <w:rtl/>
        </w:rPr>
        <w:t>دول أمريكا اللاتينية ومنطقة البحر الكاريبي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السيدو كريتسنا أليزاندرا سلغادو توريس (إكوادور)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 سوريش أميتشاند (غيانا)</w:t>
      </w:r>
    </w:p>
    <w:p w:rsidR="00B9447E" w:rsidRPr="00111803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[</w:t>
      </w:r>
      <w:r w:rsidRPr="00955309">
        <w:rPr>
          <w:rFonts w:ascii="Calibri" w:eastAsia="Calibri" w:hAnsi="Calibri" w:cs="Traditional Arabic"/>
          <w:i/>
          <w:iCs/>
          <w:noProof w:val="0"/>
          <w:szCs w:val="30"/>
          <w:rtl/>
        </w:rPr>
        <w:t>يُحدد فيما بعد</w:t>
      </w:r>
      <w:r>
        <w:rPr>
          <w:rFonts w:ascii="Calibri" w:eastAsia="Calibri" w:hAnsi="Calibri" w:cs="Traditional Arabic"/>
          <w:noProof w:val="0"/>
          <w:szCs w:val="30"/>
          <w:rtl/>
        </w:rPr>
        <w:t>]</w:t>
      </w:r>
    </w:p>
    <w:p w:rsidR="00B9447E" w:rsidRDefault="00B9447E" w:rsidP="00B9447E">
      <w:pPr>
        <w:tabs>
          <w:tab w:val="left" w:pos="1842"/>
        </w:tabs>
        <w:spacing w:before="120" w:line="400" w:lineRule="exact"/>
        <w:ind w:left="1134"/>
        <w:jc w:val="both"/>
        <w:rPr>
          <w:rFonts w:ascii="Calibri" w:eastAsia="Calibri" w:hAnsi="Calibri" w:cs="Traditional Arabic"/>
          <w:b/>
          <w:bCs/>
          <w:noProof w:val="0"/>
          <w:szCs w:val="30"/>
          <w:rtl/>
        </w:rPr>
      </w:pPr>
      <w:r w:rsidRPr="00F039BA">
        <w:rPr>
          <w:rFonts w:ascii="Calibri" w:eastAsia="Calibri" w:hAnsi="Calibri" w:cs="Traditional Arabic"/>
          <w:b/>
          <w:bCs/>
          <w:noProof w:val="0"/>
          <w:szCs w:val="30"/>
          <w:rtl/>
        </w:rPr>
        <w:t>دول أوروبا الغربية ودول أخرى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111803">
        <w:rPr>
          <w:rFonts w:ascii="Calibri" w:eastAsia="Calibri" w:hAnsi="Calibri" w:cs="Traditional Arabic"/>
          <w:noProof w:val="0"/>
          <w:szCs w:val="30"/>
          <w:rtl/>
        </w:rPr>
        <w:t>السيد جيفري غودمان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(كندا)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 تيمو سيبالا (فنلندا)</w:t>
      </w:r>
    </w:p>
    <w:p w:rsidR="00B9447E" w:rsidRDefault="00B9447E" w:rsidP="00B9447E">
      <w:pPr>
        <w:spacing w:line="400" w:lineRule="exact"/>
        <w:ind w:left="1700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>السيد بيتر كوريتار (مالطة)</w:t>
      </w:r>
    </w:p>
    <w:p w:rsidR="00B9447E" w:rsidRDefault="00B9447E" w:rsidP="00B9447E">
      <w:pPr>
        <w:spacing w:after="240" w:line="400" w:lineRule="exact"/>
        <w:ind w:left="1701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noProof w:val="0"/>
          <w:szCs w:val="30"/>
          <w:rtl/>
        </w:rPr>
        <w:t xml:space="preserve">السيد بيتر </w:t>
      </w:r>
      <w:r>
        <w:rPr>
          <w:rFonts w:ascii="Calibri" w:eastAsia="Calibri" w:hAnsi="Calibri" w:cs="Traditional Arabic" w:hint="cs"/>
          <w:noProof w:val="0"/>
          <w:szCs w:val="30"/>
          <w:rtl/>
        </w:rPr>
        <w:t xml:space="preserve">ألستير </w:t>
      </w:r>
      <w:r>
        <w:rPr>
          <w:rFonts w:ascii="Calibri" w:eastAsia="Calibri" w:hAnsi="Calibri" w:cs="Traditional Arabic"/>
          <w:noProof w:val="0"/>
          <w:szCs w:val="30"/>
          <w:rtl/>
        </w:rPr>
        <w:t>دوسون (نيوزيلندا)</w:t>
      </w:r>
    </w:p>
    <w:p w:rsidR="00CD6F2D" w:rsidRDefault="00CD6F2D"/>
    <w:sectPr w:rsidR="00CD6F2D" w:rsidSect="00CD6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B73" w:rsidRDefault="00B53B73" w:rsidP="00B9447E">
      <w:r>
        <w:separator/>
      </w:r>
    </w:p>
  </w:endnote>
  <w:endnote w:type="continuationSeparator" w:id="0">
    <w:p w:rsidR="00B53B73" w:rsidRDefault="00B53B73" w:rsidP="00B944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B73" w:rsidRDefault="00B53B73" w:rsidP="00B9447E">
      <w:r>
        <w:separator/>
      </w:r>
    </w:p>
  </w:footnote>
  <w:footnote w:type="continuationSeparator" w:id="0">
    <w:p w:rsidR="00B53B73" w:rsidRDefault="00B53B73" w:rsidP="00B9447E">
      <w:r>
        <w:continuationSeparator/>
      </w:r>
    </w:p>
  </w:footnote>
  <w:footnote w:id="1">
    <w:p w:rsidR="00B9447E" w:rsidRPr="00D66075" w:rsidRDefault="00B9447E" w:rsidP="00B9447E">
      <w:pPr>
        <w:pStyle w:val="FootnoteText"/>
        <w:ind w:left="1133"/>
        <w:jc w:val="both"/>
        <w:textDirection w:val="tbRlV"/>
        <w:rPr>
          <w:sz w:val="26"/>
          <w:szCs w:val="26"/>
          <w:rtl/>
          <w:lang w:val="en-GB" w:eastAsia="zh-TW"/>
        </w:rPr>
      </w:pPr>
      <w:r w:rsidRPr="00D66075">
        <w:rPr>
          <w:rFonts w:cs="Traditional Arabic"/>
          <w:sz w:val="26"/>
          <w:szCs w:val="26"/>
          <w:rtl/>
        </w:rPr>
        <w:t>(</w:t>
      </w:r>
      <w:r w:rsidRPr="00D66075">
        <w:rPr>
          <w:rStyle w:val="FootnoteReference"/>
          <w:rFonts w:cs="Traditional Arabic"/>
          <w:sz w:val="26"/>
          <w:szCs w:val="26"/>
          <w:rtl/>
        </w:rPr>
        <w:footnoteRef/>
      </w:r>
      <w:r w:rsidRPr="00D66075">
        <w:rPr>
          <w:rFonts w:cs="Traditional Arabic"/>
          <w:sz w:val="26"/>
          <w:szCs w:val="26"/>
          <w:rtl/>
        </w:rPr>
        <w:t>)</w:t>
      </w:r>
      <w:r w:rsidRPr="00D66075">
        <w:rPr>
          <w:rFonts w:cs="Traditional Arabic" w:hint="cs"/>
          <w:sz w:val="26"/>
          <w:szCs w:val="26"/>
          <w:rtl/>
        </w:rPr>
        <w:t xml:space="preserve">  </w:t>
      </w:r>
      <w:r w:rsidRPr="00D66075">
        <w:rPr>
          <w:rFonts w:cs="Traditional Arabic" w:hint="cs"/>
          <w:sz w:val="18"/>
          <w:szCs w:val="26"/>
          <w:rtl/>
          <w:lang w:val="en-GB" w:eastAsia="zh-TW"/>
        </w:rPr>
        <w:t xml:space="preserve">انظر </w:t>
      </w:r>
      <w:r w:rsidRPr="00BA0ACD">
        <w:rPr>
          <w:rFonts w:asciiTheme="majorBidi" w:hAnsiTheme="majorBidi" w:cstheme="majorBidi"/>
          <w:sz w:val="18"/>
          <w:szCs w:val="18"/>
          <w:lang w:val="en-GB" w:eastAsia="zh-TW"/>
        </w:rPr>
        <w:t>UNEP/FAO/RC/CRC.11/9</w:t>
      </w:r>
      <w:r w:rsidRPr="00D66075">
        <w:rPr>
          <w:rFonts w:cs="Traditional Arabic"/>
          <w:sz w:val="18"/>
          <w:szCs w:val="26"/>
          <w:rtl/>
          <w:lang w:val="en-GB" w:eastAsia="zh-TW"/>
        </w:rPr>
        <w:t xml:space="preserve"> و</w:t>
      </w:r>
      <w:r w:rsidRPr="00BA0ACD">
        <w:rPr>
          <w:rFonts w:asciiTheme="majorBidi" w:hAnsiTheme="majorBidi" w:cstheme="majorBidi"/>
          <w:sz w:val="18"/>
          <w:szCs w:val="18"/>
          <w:lang w:val="en-GB" w:eastAsia="zh-TW"/>
        </w:rPr>
        <w:t>UNEP/FAO/RC/CRC.12/9</w:t>
      </w:r>
      <w:r w:rsidRPr="00D66075">
        <w:rPr>
          <w:rFonts w:cs="Traditional Arabic"/>
          <w:sz w:val="18"/>
          <w:szCs w:val="26"/>
          <w:rtl/>
          <w:lang w:val="en-GB" w:eastAsia="zh-TW"/>
        </w:rPr>
        <w:t>.</w:t>
      </w:r>
    </w:p>
  </w:footnote>
  <w:footnote w:id="2">
    <w:p w:rsidR="00B9447E" w:rsidRPr="00D66075" w:rsidRDefault="00B9447E" w:rsidP="00B9447E">
      <w:pPr>
        <w:pStyle w:val="FootnoteText"/>
        <w:spacing w:after="60" w:line="320" w:lineRule="exact"/>
        <w:ind w:left="1134"/>
        <w:jc w:val="both"/>
        <w:textDirection w:val="tbRlV"/>
        <w:rPr>
          <w:rFonts w:cs="Traditional Arabic"/>
          <w:sz w:val="18"/>
          <w:szCs w:val="26"/>
          <w:rtl/>
          <w:lang w:val="en-GB" w:eastAsia="zh-TW"/>
        </w:rPr>
      </w:pPr>
      <w:r w:rsidRPr="00D66075">
        <w:rPr>
          <w:rFonts w:cs="Traditional Arabic" w:hint="cs"/>
          <w:sz w:val="18"/>
          <w:szCs w:val="26"/>
          <w:rtl/>
          <w:lang w:val="en-GB" w:eastAsia="zh-TW"/>
        </w:rPr>
        <w:t>(</w:t>
      </w:r>
      <w:r w:rsidRPr="00D66075">
        <w:rPr>
          <w:rFonts w:cs="Traditional Arabic"/>
          <w:sz w:val="18"/>
          <w:szCs w:val="26"/>
          <w:rtl/>
        </w:rPr>
        <w:footnoteRef/>
      </w:r>
      <w:r w:rsidRPr="00D66075">
        <w:rPr>
          <w:rFonts w:cs="Traditional Arabic" w:hint="cs"/>
          <w:sz w:val="18"/>
          <w:szCs w:val="26"/>
          <w:rtl/>
          <w:lang w:val="en-GB" w:eastAsia="zh-TW"/>
        </w:rPr>
        <w:t>)  انظر</w:t>
      </w:r>
      <w:r w:rsidRPr="00D66075">
        <w:rPr>
          <w:rFonts w:cs="Traditional Arabic"/>
          <w:sz w:val="18"/>
          <w:szCs w:val="26"/>
          <w:rtl/>
          <w:lang w:val="en-GB" w:eastAsia="zh-TW"/>
        </w:rPr>
        <w:t xml:space="preserve"> </w:t>
      </w:r>
      <w:r w:rsidRPr="00BA0ACD">
        <w:rPr>
          <w:rFonts w:asciiTheme="majorBidi" w:hAnsiTheme="majorBidi" w:cstheme="majorBidi"/>
          <w:sz w:val="18"/>
          <w:szCs w:val="18"/>
          <w:lang w:val="en-GB" w:eastAsia="zh-TW"/>
        </w:rPr>
        <w:t>UNEP/FAO/RC/CRC.12/INF/3/Rev.1</w:t>
      </w:r>
      <w:r w:rsidRPr="00D66075">
        <w:rPr>
          <w:rFonts w:cs="Traditional Arabic"/>
          <w:sz w:val="18"/>
          <w:szCs w:val="26"/>
          <w:rtl/>
          <w:lang w:val="en-GB" w:eastAsia="zh-TW"/>
        </w:rPr>
        <w:t>.</w:t>
      </w:r>
    </w:p>
  </w:footnote>
  <w:footnote w:id="3">
    <w:p w:rsidR="00B9447E" w:rsidRPr="00D66075" w:rsidRDefault="00B9447E" w:rsidP="00B9447E">
      <w:pPr>
        <w:pStyle w:val="FootnoteText"/>
        <w:spacing w:after="60" w:line="320" w:lineRule="exact"/>
        <w:ind w:left="1134"/>
        <w:jc w:val="both"/>
        <w:textDirection w:val="tbRlV"/>
        <w:rPr>
          <w:rFonts w:cs="Traditional Arabic"/>
          <w:sz w:val="18"/>
          <w:szCs w:val="26"/>
          <w:rtl/>
          <w:lang w:val="en-GB" w:eastAsia="zh-TW"/>
        </w:rPr>
      </w:pPr>
      <w:r w:rsidRPr="00D66075">
        <w:rPr>
          <w:rFonts w:cs="Traditional Arabic" w:hint="cs"/>
          <w:sz w:val="18"/>
          <w:szCs w:val="26"/>
          <w:rtl/>
          <w:lang w:val="en-GB" w:eastAsia="zh-TW"/>
        </w:rPr>
        <w:t>(</w:t>
      </w:r>
      <w:r w:rsidRPr="00D66075">
        <w:rPr>
          <w:rFonts w:cs="Traditional Arabic"/>
          <w:sz w:val="18"/>
          <w:szCs w:val="26"/>
          <w:rtl/>
        </w:rPr>
        <w:footnoteRef/>
      </w:r>
      <w:r w:rsidRPr="00D66075">
        <w:rPr>
          <w:rFonts w:cs="Traditional Arabic" w:hint="cs"/>
          <w:sz w:val="18"/>
          <w:szCs w:val="26"/>
          <w:rtl/>
          <w:lang w:val="en-GB" w:eastAsia="zh-TW"/>
        </w:rPr>
        <w:t xml:space="preserve">) </w:t>
      </w:r>
      <w:r w:rsidRPr="00D66075">
        <w:rPr>
          <w:rFonts w:cs="Traditional Arabic"/>
          <w:sz w:val="18"/>
          <w:szCs w:val="26"/>
          <w:rtl/>
          <w:lang w:val="en-GB" w:eastAsia="zh-TW"/>
        </w:rPr>
        <w:t xml:space="preserve"> ترد السير الذاتية لهؤلاء الخبراء في الوثيقة </w:t>
      </w:r>
      <w:r w:rsidRPr="00BA0ACD">
        <w:rPr>
          <w:rFonts w:asciiTheme="majorBidi" w:hAnsiTheme="majorBidi" w:cstheme="majorBidi"/>
          <w:sz w:val="18"/>
          <w:szCs w:val="18"/>
          <w:lang w:val="en-GB" w:eastAsia="zh-TW"/>
        </w:rPr>
        <w:t>UNEP/FAO/RC/COP.8/INF/52</w:t>
      </w:r>
      <w:r w:rsidRPr="00D66075">
        <w:rPr>
          <w:rFonts w:cs="Traditional Arabic"/>
          <w:sz w:val="18"/>
          <w:szCs w:val="26"/>
          <w:rtl/>
          <w:lang w:val="en-GB" w:eastAsia="zh-TW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47E"/>
    <w:rsid w:val="00B53B73"/>
    <w:rsid w:val="00B9447E"/>
    <w:rsid w:val="00CD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47E"/>
    <w:pPr>
      <w:bidi/>
      <w:spacing w:after="0" w:line="240" w:lineRule="auto"/>
    </w:pPr>
    <w:rPr>
      <w:rFonts w:ascii="Times" w:eastAsia="Times New Roman" w:hAnsi="Times" w:cs="Simplified Arabic"/>
      <w:noProof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Car,-E Fußnotentext,ft,Fußnote,Fußnotentext Ursprung,fn,footnote text,Footnotes,Footnote ak,fn cafc,Footnotes Char Char,Footnote Text Char Char,fn Char Char,footnote text Char Char Char Ch,93,Char"/>
    <w:basedOn w:val="Normal"/>
    <w:link w:val="FootnoteTextChar"/>
    <w:rsid w:val="00B9447E"/>
    <w:rPr>
      <w:szCs w:val="20"/>
    </w:rPr>
  </w:style>
  <w:style w:type="character" w:customStyle="1" w:styleId="FootnoteTextChar">
    <w:name w:val="Footnote Text Char"/>
    <w:aliases w:val="DNV-FT Char,Geneva 9 Char,Font: Geneva 9 Char,Boston 10 Char,f Char,Car Char,-E Fußnotentext Char,ft Char,Fußnote Char,Fußnotentext Ursprung Char,fn Char,footnote text Char,Footnotes Char,Footnote ak Char,fn cafc Char,93 Char"/>
    <w:basedOn w:val="DefaultParagraphFont"/>
    <w:link w:val="FootnoteText"/>
    <w:rsid w:val="00B9447E"/>
    <w:rPr>
      <w:rFonts w:ascii="Times" w:eastAsia="Times New Roman" w:hAnsi="Times" w:cs="Simplified Arabic"/>
      <w:noProof/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"/>
    <w:rsid w:val="00B944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1596</Characters>
  <Application>Microsoft Office Word</Application>
  <DocSecurity>0</DocSecurity>
  <Lines>13</Lines>
  <Paragraphs>3</Paragraphs>
  <ScaleCrop>false</ScaleCrop>
  <Company>BRS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2018-01-29T14:42:00Z</dcterms:created>
  <dcterms:modified xsi:type="dcterms:W3CDTF">2018-01-29T14:42:00Z</dcterms:modified>
</cp:coreProperties>
</file>