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48" w:rsidRPr="00ED0EE4" w:rsidRDefault="00886248" w:rsidP="00886248">
      <w:pPr>
        <w:pStyle w:val="BBTitle"/>
        <w:spacing w:after="120"/>
        <w:ind w:left="1253" w:right="0"/>
        <w:rPr>
          <w:lang w:val="fr-FR"/>
        </w:rPr>
      </w:pPr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8/1 : </w:t>
      </w:r>
      <w:bookmarkStart w:id="0" w:name="_Hlk490659140"/>
      <w:r w:rsidRPr="00ED0EE4">
        <w:rPr>
          <w:lang w:val="fr-FR"/>
        </w:rPr>
        <w:t>Fonctionnement du Comité d’étude des produits chimiques</w:t>
      </w:r>
      <w:bookmarkEnd w:id="0"/>
    </w:p>
    <w:p w:rsidR="00886248" w:rsidRPr="00ED0EE4" w:rsidRDefault="00886248" w:rsidP="00886248">
      <w:pPr>
        <w:pStyle w:val="NormalNonumber"/>
        <w:ind w:firstLine="571"/>
        <w:rPr>
          <w:i/>
          <w:lang w:val="fr-FR"/>
        </w:rPr>
      </w:pPr>
      <w:r w:rsidRPr="00ED0EE4">
        <w:rPr>
          <w:i/>
          <w:lang w:val="fr-FR"/>
        </w:rPr>
        <w:t>La Conférence des Parties</w:t>
      </w:r>
    </w:p>
    <w:p w:rsidR="00886248" w:rsidRPr="00ED0EE4" w:rsidRDefault="00886248" w:rsidP="00886248">
      <w:pPr>
        <w:pStyle w:val="NormalNonumber"/>
        <w:ind w:firstLine="571"/>
        <w:rPr>
          <w:lang w:val="fr-FR"/>
        </w:rPr>
      </w:pPr>
      <w:r w:rsidRPr="00ED0EE4">
        <w:rPr>
          <w:iCs/>
          <w:lang w:val="fr-FR"/>
        </w:rPr>
        <w:t>1.</w:t>
      </w:r>
      <w:r w:rsidRPr="00ED0EE4">
        <w:rPr>
          <w:iCs/>
          <w:lang w:val="fr-FR"/>
        </w:rPr>
        <w:tab/>
      </w:r>
      <w:r w:rsidRPr="00ED0EE4">
        <w:rPr>
          <w:i/>
          <w:iCs/>
          <w:lang w:val="fr-FR"/>
        </w:rPr>
        <w:t>Prend note</w:t>
      </w:r>
      <w:r w:rsidRPr="00ED0EE4">
        <w:rPr>
          <w:lang w:val="fr-FR"/>
        </w:rPr>
        <w:t xml:space="preserve"> des informations figurant dans les rapports du Comité d’étude des produits chimiques sur les travaux de ses onzième et douzième réunions</w:t>
      </w:r>
      <w:r w:rsidRPr="00ED0EE4">
        <w:rPr>
          <w:rStyle w:val="FootnoteReference"/>
          <w:lang w:val="fr-FR"/>
        </w:rPr>
        <w:footnoteReference w:id="1"/>
      </w:r>
      <w:r w:rsidRPr="00ED0EE4">
        <w:rPr>
          <w:lang w:val="fr-FR"/>
        </w:rPr>
        <w:t>;</w:t>
      </w:r>
    </w:p>
    <w:p w:rsidR="00886248" w:rsidRPr="00ED0EE4" w:rsidRDefault="00886248" w:rsidP="00886248">
      <w:pPr>
        <w:pStyle w:val="NormalNonumber"/>
        <w:ind w:firstLine="571"/>
        <w:rPr>
          <w:lang w:val="fr-FR"/>
        </w:rPr>
      </w:pPr>
      <w:r w:rsidRPr="00ED0EE4">
        <w:rPr>
          <w:lang w:val="fr-FR"/>
        </w:rPr>
        <w:t>2.</w:t>
      </w:r>
      <w:r w:rsidRPr="00ED0EE4">
        <w:rPr>
          <w:lang w:val="fr-FR"/>
        </w:rPr>
        <w:tab/>
      </w:r>
      <w:r w:rsidRPr="00ED0EE4">
        <w:rPr>
          <w:i/>
          <w:lang w:val="fr-FR"/>
        </w:rPr>
        <w:t>Nomme</w:t>
      </w:r>
      <w:r w:rsidRPr="00ED0EE4">
        <w:rPr>
          <w:lang w:val="fr-FR"/>
        </w:rPr>
        <w:t xml:space="preserve"> les 14 experts désignés dont le nom figure dans la note du Secrétariat</w:t>
      </w:r>
      <w:r w:rsidRPr="00ED0EE4">
        <w:rPr>
          <w:vertAlign w:val="superscript"/>
          <w:lang w:val="fr-FR"/>
        </w:rPr>
        <w:footnoteReference w:id="2"/>
      </w:r>
      <w:r w:rsidRPr="00ED0EE4">
        <w:rPr>
          <w:lang w:val="fr-FR"/>
        </w:rPr>
        <w:t>, qui siègeront au Comité du 1</w:t>
      </w:r>
      <w:r w:rsidRPr="00ED0EE4">
        <w:rPr>
          <w:vertAlign w:val="superscript"/>
          <w:lang w:val="fr-FR"/>
        </w:rPr>
        <w:t>er</w:t>
      </w:r>
      <w:r w:rsidRPr="00ED0EE4">
        <w:rPr>
          <w:lang w:val="fr-FR"/>
        </w:rPr>
        <w:t> mai 2016 au 30 avril 2020, et confirme la nomination de M. </w:t>
      </w:r>
      <w:proofErr w:type="spellStart"/>
      <w:r w:rsidRPr="00ED0EE4">
        <w:rPr>
          <w:lang w:val="fr-FR"/>
        </w:rPr>
        <w:t>Iftikhar</w:t>
      </w:r>
      <w:proofErr w:type="spellEnd"/>
      <w:r w:rsidRPr="00ED0EE4">
        <w:rPr>
          <w:lang w:val="fr-FR"/>
        </w:rPr>
        <w:noBreakHyphen/>
      </w:r>
      <w:proofErr w:type="spellStart"/>
      <w:r w:rsidRPr="00ED0EE4">
        <w:rPr>
          <w:lang w:val="fr-FR"/>
        </w:rPr>
        <w:t>ul</w:t>
      </w:r>
      <w:proofErr w:type="spellEnd"/>
      <w:r w:rsidRPr="00ED0EE4">
        <w:rPr>
          <w:lang w:val="fr-FR"/>
        </w:rPr>
        <w:noBreakHyphen/>
        <w:t>Hassan Shah </w:t>
      </w:r>
      <w:proofErr w:type="spellStart"/>
      <w:r w:rsidRPr="00ED0EE4">
        <w:rPr>
          <w:lang w:val="fr-FR"/>
        </w:rPr>
        <w:t>Gilani</w:t>
      </w:r>
      <w:proofErr w:type="spellEnd"/>
      <w:r w:rsidRPr="00ED0EE4">
        <w:rPr>
          <w:lang w:val="fr-FR"/>
        </w:rPr>
        <w:t xml:space="preserve"> (Pakistan), qui remplacera sa compatriote, Mme </w:t>
      </w:r>
      <w:proofErr w:type="spellStart"/>
      <w:r w:rsidRPr="00ED0EE4">
        <w:rPr>
          <w:lang w:val="fr-FR"/>
        </w:rPr>
        <w:t>Khalida</w:t>
      </w:r>
      <w:proofErr w:type="spellEnd"/>
      <w:r w:rsidRPr="00ED0EE4">
        <w:rPr>
          <w:lang w:val="fr-FR"/>
        </w:rPr>
        <w:t> </w:t>
      </w:r>
      <w:proofErr w:type="spellStart"/>
      <w:r w:rsidRPr="00ED0EE4">
        <w:rPr>
          <w:lang w:val="fr-FR"/>
        </w:rPr>
        <w:t>Bashir</w:t>
      </w:r>
      <w:proofErr w:type="spellEnd"/>
      <w:r w:rsidRPr="00ED0EE4">
        <w:rPr>
          <w:lang w:val="fr-FR"/>
        </w:rPr>
        <w:t>, pour le reste du mandat de cette dernière, soit jusqu’au 30 avril 2018;</w:t>
      </w:r>
    </w:p>
    <w:p w:rsidR="00886248" w:rsidRPr="00ED0EE4" w:rsidRDefault="00886248" w:rsidP="00886248">
      <w:pPr>
        <w:pStyle w:val="NormalNonumber"/>
        <w:ind w:firstLine="571"/>
        <w:rPr>
          <w:iCs/>
          <w:lang w:val="fr-FR"/>
        </w:rPr>
      </w:pPr>
      <w:r w:rsidRPr="00ED0EE4">
        <w:rPr>
          <w:iCs/>
          <w:lang w:val="fr-FR"/>
        </w:rPr>
        <w:t>3.</w:t>
      </w:r>
      <w:r w:rsidRPr="00ED0EE4">
        <w:rPr>
          <w:iCs/>
          <w:lang w:val="fr-FR"/>
        </w:rPr>
        <w:tab/>
      </w:r>
      <w:r w:rsidRPr="00ED0EE4">
        <w:rPr>
          <w:i/>
          <w:iCs/>
          <w:lang w:val="fr-FR"/>
        </w:rPr>
        <w:t>Nomme également</w:t>
      </w:r>
      <w:r w:rsidRPr="00ED0EE4">
        <w:rPr>
          <w:iCs/>
          <w:lang w:val="fr-FR"/>
        </w:rPr>
        <w:t xml:space="preserve"> les 17 experts désignés dont le nom figure dans l’annexe de la présente décision, qui siègeront au Comité du 1</w:t>
      </w:r>
      <w:r w:rsidRPr="00ED0EE4">
        <w:rPr>
          <w:iCs/>
          <w:vertAlign w:val="superscript"/>
          <w:lang w:val="fr-FR"/>
        </w:rPr>
        <w:t>er</w:t>
      </w:r>
      <w:r w:rsidRPr="00ED0EE4">
        <w:rPr>
          <w:iCs/>
          <w:lang w:val="fr-FR"/>
        </w:rPr>
        <w:t> mai 2018 au 30 avril 2022</w:t>
      </w:r>
      <w:r w:rsidRPr="00ED0EE4">
        <w:rPr>
          <w:iCs/>
          <w:vertAlign w:val="superscript"/>
          <w:lang w:val="fr-FR"/>
        </w:rPr>
        <w:footnoteReference w:id="3"/>
      </w:r>
      <w:r w:rsidRPr="00ED0EE4">
        <w:rPr>
          <w:iCs/>
          <w:lang w:val="fr-FR"/>
        </w:rPr>
        <w:t xml:space="preserve">; </w:t>
      </w:r>
    </w:p>
    <w:p w:rsidR="00886248" w:rsidRPr="00ED0EE4" w:rsidRDefault="00886248" w:rsidP="00886248">
      <w:pPr>
        <w:pStyle w:val="NormalNonumber"/>
        <w:ind w:firstLine="571"/>
        <w:rPr>
          <w:iCs/>
          <w:lang w:val="fr-FR"/>
        </w:rPr>
      </w:pPr>
      <w:r w:rsidRPr="00ED0EE4">
        <w:rPr>
          <w:iCs/>
          <w:lang w:val="fr-FR"/>
        </w:rPr>
        <w:t>4.</w:t>
      </w:r>
      <w:r w:rsidRPr="00ED0EE4">
        <w:rPr>
          <w:iCs/>
          <w:lang w:val="fr-FR"/>
        </w:rPr>
        <w:tab/>
      </w:r>
      <w:r w:rsidRPr="00ED0EE4">
        <w:rPr>
          <w:i/>
          <w:iCs/>
          <w:lang w:val="fr-FR"/>
        </w:rPr>
        <w:t>Prie</w:t>
      </w:r>
      <w:r w:rsidRPr="00ED0EE4">
        <w:rPr>
          <w:iCs/>
          <w:lang w:val="fr-FR"/>
        </w:rPr>
        <w:t xml:space="preserve"> le Comité d’étude des produits chimiques de se choisir à sa treizième réunion un président par intérim pour sa quatorzième réunion et décide d’examiner la question de l’élection du président du Comité à sa neuvième réunion;</w:t>
      </w:r>
    </w:p>
    <w:p w:rsidR="00886248" w:rsidRPr="00ED0EE4" w:rsidRDefault="00886248" w:rsidP="00886248">
      <w:pPr>
        <w:pStyle w:val="NormalNonumber"/>
        <w:ind w:firstLine="571"/>
        <w:rPr>
          <w:lang w:val="fr-FR"/>
        </w:rPr>
      </w:pPr>
      <w:r w:rsidRPr="00ED0EE4">
        <w:rPr>
          <w:iCs/>
          <w:lang w:val="fr-FR"/>
        </w:rPr>
        <w:t>5.</w:t>
      </w:r>
      <w:r w:rsidRPr="00ED0EE4">
        <w:rPr>
          <w:iCs/>
          <w:lang w:val="fr-FR"/>
        </w:rPr>
        <w:tab/>
      </w:r>
      <w:r w:rsidRPr="00ED0EE4">
        <w:rPr>
          <w:i/>
          <w:iCs/>
          <w:lang w:val="fr-FR"/>
        </w:rPr>
        <w:t>Note</w:t>
      </w:r>
      <w:r w:rsidRPr="00ED0EE4">
        <w:rPr>
          <w:iCs/>
          <w:lang w:val="fr-FR"/>
        </w:rPr>
        <w:t xml:space="preserve"> que le Secrétariat a tenu un atelier d’orientation pour les nouveaux membres et prie celui-ci de continuer, sous réserve des ressources disponibles, à organiser de tels ateliers et de lui faire rapport sur les résultats de cette activité à sa neuvième réunion</w:t>
      </w:r>
      <w:r w:rsidRPr="00ED0EE4">
        <w:rPr>
          <w:lang w:val="fr-FR"/>
        </w:rPr>
        <w:t>.</w:t>
      </w:r>
    </w:p>
    <w:p w:rsidR="00886248" w:rsidRPr="00ED0EE4" w:rsidRDefault="00886248" w:rsidP="00886248">
      <w:pPr>
        <w:pStyle w:val="CH1"/>
        <w:rPr>
          <w:lang w:val="fr-FR"/>
        </w:rPr>
      </w:pPr>
      <w:r w:rsidRPr="00ED0EE4">
        <w:rPr>
          <w:lang w:val="fr-FR"/>
        </w:rPr>
        <w:tab/>
      </w:r>
      <w:r w:rsidRPr="00ED0EE4">
        <w:rPr>
          <w:lang w:val="fr-FR"/>
        </w:rPr>
        <w:tab/>
        <w:t>Annexe de la décision RC</w:t>
      </w:r>
      <w:r w:rsidRPr="00ED0EE4">
        <w:rPr>
          <w:lang w:val="fr-FR"/>
        </w:rPr>
        <w:noBreakHyphen/>
        <w:t>8/1</w:t>
      </w:r>
    </w:p>
    <w:p w:rsidR="00886248" w:rsidRPr="00ED0EE4" w:rsidRDefault="00886248" w:rsidP="00886248">
      <w:pPr>
        <w:pStyle w:val="CH1"/>
        <w:rPr>
          <w:lang w:val="fr-FR"/>
        </w:rPr>
      </w:pPr>
      <w:r w:rsidRPr="00ED0EE4">
        <w:rPr>
          <w:lang w:val="fr-FR"/>
        </w:rPr>
        <w:tab/>
      </w:r>
      <w:r w:rsidRPr="00ED0EE4">
        <w:rPr>
          <w:lang w:val="fr-FR"/>
        </w:rPr>
        <w:tab/>
        <w:t>Experts désignés par les Parties qui sont nommés en tant que membres du Comité d’étude des produits chimiques dont le mandat commence le 1</w:t>
      </w:r>
      <w:r w:rsidRPr="00ED0EE4">
        <w:rPr>
          <w:vertAlign w:val="superscript"/>
          <w:lang w:val="fr-FR"/>
        </w:rPr>
        <w:t>er</w:t>
      </w:r>
      <w:r w:rsidRPr="00ED0EE4">
        <w:rPr>
          <w:lang w:val="fr-FR"/>
        </w:rPr>
        <w:t> mai 2018</w:t>
      </w:r>
    </w:p>
    <w:p w:rsidR="00886248" w:rsidRPr="00ED0EE4" w:rsidRDefault="00886248" w:rsidP="00886248">
      <w:pPr>
        <w:pStyle w:val="CH2"/>
        <w:rPr>
          <w:lang w:val="fr-FR"/>
        </w:rPr>
      </w:pPr>
      <w:r w:rsidRPr="00ED0EE4">
        <w:rPr>
          <w:lang w:val="fr-FR"/>
        </w:rPr>
        <w:tab/>
      </w:r>
      <w:r w:rsidRPr="00ED0EE4">
        <w:rPr>
          <w:lang w:val="fr-FR"/>
        </w:rPr>
        <w:tab/>
        <w:t xml:space="preserve">États d’Afrique </w:t>
      </w:r>
    </w:p>
    <w:p w:rsidR="00886248" w:rsidRPr="00ED0EE4" w:rsidRDefault="00886248" w:rsidP="00886248">
      <w:pPr>
        <w:pStyle w:val="NormalNonumber"/>
        <w:spacing w:after="0"/>
        <w:rPr>
          <w:lang w:val="fr-FR"/>
        </w:rPr>
      </w:pPr>
      <w:bookmarkStart w:id="1" w:name="_DV_C1172"/>
      <w:r w:rsidRPr="00ED0EE4">
        <w:rPr>
          <w:lang w:val="fr-FR"/>
        </w:rPr>
        <w:tab/>
        <w:t xml:space="preserve">Mme </w:t>
      </w:r>
      <w:proofErr w:type="spellStart"/>
      <w:r w:rsidRPr="00ED0EE4">
        <w:rPr>
          <w:lang w:val="fr-FR"/>
        </w:rPr>
        <w:t>Noluzuko</w:t>
      </w:r>
      <w:proofErr w:type="spellEnd"/>
      <w:r w:rsidRPr="00ED0EE4">
        <w:rPr>
          <w:lang w:val="fr-FR"/>
        </w:rPr>
        <w:t xml:space="preserve"> </w:t>
      </w:r>
      <w:proofErr w:type="spellStart"/>
      <w:r w:rsidRPr="00ED0EE4">
        <w:rPr>
          <w:lang w:val="fr-FR"/>
        </w:rPr>
        <w:t>Gwayi</w:t>
      </w:r>
      <w:proofErr w:type="spellEnd"/>
      <w:r w:rsidRPr="00ED0EE4">
        <w:rPr>
          <w:lang w:val="fr-FR"/>
        </w:rPr>
        <w:t xml:space="preserve"> (Afrique du Sud)</w:t>
      </w:r>
    </w:p>
    <w:p w:rsidR="00886248" w:rsidRPr="000159DC" w:rsidRDefault="00886248" w:rsidP="00886248">
      <w:pPr>
        <w:pStyle w:val="NormalNonumber"/>
        <w:spacing w:after="0"/>
        <w:rPr>
          <w:szCs w:val="24"/>
          <w:lang w:val="en-US"/>
        </w:rPr>
      </w:pPr>
      <w:r w:rsidRPr="00ED0EE4">
        <w:rPr>
          <w:szCs w:val="24"/>
          <w:lang w:val="fr-FR"/>
        </w:rPr>
        <w:tab/>
      </w:r>
      <w:r w:rsidRPr="000159DC">
        <w:rPr>
          <w:szCs w:val="24"/>
          <w:lang w:val="en-US"/>
        </w:rPr>
        <w:t>M. Victor </w:t>
      </w:r>
      <w:proofErr w:type="spellStart"/>
      <w:r w:rsidRPr="000159DC">
        <w:rPr>
          <w:szCs w:val="24"/>
          <w:lang w:val="en-US"/>
        </w:rPr>
        <w:t>N’Goka</w:t>
      </w:r>
      <w:proofErr w:type="spellEnd"/>
      <w:r w:rsidRPr="000159DC">
        <w:rPr>
          <w:szCs w:val="24"/>
          <w:lang w:val="en-US"/>
        </w:rPr>
        <w:t xml:space="preserve"> (Congo)</w:t>
      </w:r>
    </w:p>
    <w:p w:rsidR="00886248" w:rsidRPr="000159DC" w:rsidRDefault="00886248" w:rsidP="00886248">
      <w:pPr>
        <w:pStyle w:val="NormalNonumber"/>
        <w:spacing w:after="0"/>
        <w:rPr>
          <w:szCs w:val="24"/>
          <w:lang w:val="en-US"/>
        </w:rPr>
      </w:pPr>
      <w:r w:rsidRPr="000159DC">
        <w:rPr>
          <w:szCs w:val="24"/>
          <w:lang w:val="en-US"/>
        </w:rPr>
        <w:tab/>
        <w:t>M. Joseph </w:t>
      </w:r>
      <w:proofErr w:type="spellStart"/>
      <w:r w:rsidRPr="000159DC">
        <w:rPr>
          <w:szCs w:val="24"/>
          <w:lang w:val="en-US"/>
        </w:rPr>
        <w:t>Cantamanto</w:t>
      </w:r>
      <w:proofErr w:type="spellEnd"/>
      <w:r w:rsidRPr="000159DC">
        <w:rPr>
          <w:szCs w:val="24"/>
          <w:lang w:val="en-US"/>
        </w:rPr>
        <w:t> Edmund (Ghana)</w:t>
      </w:r>
    </w:p>
    <w:p w:rsidR="00886248" w:rsidRPr="000159DC" w:rsidRDefault="00886248" w:rsidP="00886248">
      <w:pPr>
        <w:pStyle w:val="NormalNonumber"/>
        <w:rPr>
          <w:szCs w:val="24"/>
          <w:lang w:val="en-US"/>
        </w:rPr>
      </w:pPr>
      <w:r w:rsidRPr="000159DC">
        <w:rPr>
          <w:szCs w:val="24"/>
          <w:lang w:val="en-US"/>
        </w:rPr>
        <w:tab/>
        <w:t>M. Christian </w:t>
      </w:r>
      <w:proofErr w:type="spellStart"/>
      <w:r w:rsidRPr="000159DC">
        <w:rPr>
          <w:szCs w:val="24"/>
          <w:lang w:val="en-US"/>
        </w:rPr>
        <w:t>Sekomo</w:t>
      </w:r>
      <w:proofErr w:type="spellEnd"/>
      <w:r w:rsidRPr="000159DC">
        <w:rPr>
          <w:szCs w:val="24"/>
          <w:lang w:val="en-US"/>
        </w:rPr>
        <w:t> </w:t>
      </w:r>
      <w:proofErr w:type="spellStart"/>
      <w:r w:rsidRPr="000159DC">
        <w:rPr>
          <w:szCs w:val="24"/>
          <w:lang w:val="en-US"/>
        </w:rPr>
        <w:t>Birame</w:t>
      </w:r>
      <w:proofErr w:type="spellEnd"/>
      <w:r w:rsidRPr="000159DC">
        <w:rPr>
          <w:szCs w:val="24"/>
          <w:lang w:val="en-US"/>
        </w:rPr>
        <w:t xml:space="preserve"> (Rwanda)</w:t>
      </w:r>
      <w:bookmarkEnd w:id="1"/>
    </w:p>
    <w:p w:rsidR="00886248" w:rsidRPr="00ED0EE4" w:rsidRDefault="00886248" w:rsidP="00886248">
      <w:pPr>
        <w:pStyle w:val="CH2"/>
        <w:rPr>
          <w:lang w:val="fr-FR"/>
        </w:rPr>
      </w:pPr>
      <w:bookmarkStart w:id="2" w:name="_DV_C1177"/>
      <w:r w:rsidRPr="000159DC">
        <w:rPr>
          <w:lang w:val="en-US"/>
        </w:rPr>
        <w:tab/>
      </w:r>
      <w:r w:rsidRPr="000159DC">
        <w:rPr>
          <w:lang w:val="en-US"/>
        </w:rPr>
        <w:tab/>
      </w:r>
      <w:r w:rsidRPr="00ED0EE4">
        <w:rPr>
          <w:lang w:val="fr-FR"/>
        </w:rPr>
        <w:t xml:space="preserve">États d’Amérique latine et des Caraïbes </w:t>
      </w:r>
      <w:bookmarkEnd w:id="2"/>
    </w:p>
    <w:p w:rsidR="00886248" w:rsidRPr="00ED0EE4" w:rsidRDefault="00886248" w:rsidP="00886248">
      <w:pPr>
        <w:pStyle w:val="NormalNonumber"/>
        <w:spacing w:after="0"/>
        <w:rPr>
          <w:rFonts w:cs="Arial"/>
          <w:szCs w:val="22"/>
          <w:lang w:val="fr-FR"/>
        </w:rPr>
      </w:pPr>
      <w:bookmarkStart w:id="3" w:name="_DV_C1178"/>
      <w:r w:rsidRPr="00ED0EE4">
        <w:rPr>
          <w:rFonts w:cs="Arial"/>
          <w:szCs w:val="22"/>
          <w:lang w:val="fr-FR"/>
        </w:rPr>
        <w:tab/>
        <w:t>Mme Cristina</w:t>
      </w:r>
      <w:r w:rsidRPr="00ED0EE4">
        <w:rPr>
          <w:szCs w:val="22"/>
          <w:lang w:val="fr-FR"/>
        </w:rPr>
        <w:t> Alexandra</w:t>
      </w:r>
      <w:r w:rsidRPr="00ED0EE4">
        <w:rPr>
          <w:rFonts w:cs="Arial"/>
          <w:szCs w:val="22"/>
          <w:lang w:val="fr-FR"/>
        </w:rPr>
        <w:t> Salgado </w:t>
      </w:r>
      <w:r w:rsidRPr="00ED0EE4">
        <w:rPr>
          <w:szCs w:val="22"/>
          <w:lang w:val="fr-FR"/>
        </w:rPr>
        <w:t xml:space="preserve">Torres </w:t>
      </w:r>
      <w:r w:rsidRPr="00ED0EE4">
        <w:rPr>
          <w:rFonts w:cs="Arial"/>
          <w:szCs w:val="22"/>
          <w:lang w:val="fr-FR"/>
        </w:rPr>
        <w:t>(Équateur)</w:t>
      </w:r>
    </w:p>
    <w:p w:rsidR="00886248" w:rsidRPr="00ED0EE4" w:rsidRDefault="00886248" w:rsidP="00886248">
      <w:pPr>
        <w:pStyle w:val="NormalNonumber"/>
        <w:spacing w:after="0"/>
        <w:rPr>
          <w:rFonts w:cs="Arial"/>
          <w:szCs w:val="22"/>
          <w:lang w:val="fr-FR"/>
        </w:rPr>
      </w:pPr>
      <w:r w:rsidRPr="00ED0EE4">
        <w:rPr>
          <w:rFonts w:cs="Arial"/>
          <w:szCs w:val="22"/>
          <w:lang w:val="fr-FR"/>
        </w:rPr>
        <w:tab/>
        <w:t>M. Suresh </w:t>
      </w:r>
      <w:proofErr w:type="spellStart"/>
      <w:r w:rsidRPr="00ED0EE4">
        <w:rPr>
          <w:rFonts w:cs="Arial"/>
          <w:szCs w:val="22"/>
          <w:lang w:val="fr-FR"/>
        </w:rPr>
        <w:t>Amichand</w:t>
      </w:r>
      <w:proofErr w:type="spellEnd"/>
      <w:r w:rsidRPr="00ED0EE4">
        <w:rPr>
          <w:rFonts w:cs="Arial"/>
          <w:szCs w:val="22"/>
          <w:lang w:val="fr-FR"/>
        </w:rPr>
        <w:t xml:space="preserve"> (Guyana)</w:t>
      </w:r>
    </w:p>
    <w:p w:rsidR="00886248" w:rsidRPr="00ED0EE4" w:rsidRDefault="00886248" w:rsidP="00886248">
      <w:pPr>
        <w:pStyle w:val="NormalNonumber"/>
        <w:spacing w:after="0"/>
        <w:rPr>
          <w:szCs w:val="22"/>
          <w:lang w:val="fr-FR"/>
        </w:rPr>
      </w:pPr>
      <w:r w:rsidRPr="00ED0EE4">
        <w:rPr>
          <w:szCs w:val="22"/>
          <w:lang w:val="fr-FR"/>
        </w:rPr>
        <w:tab/>
        <w:t>[</w:t>
      </w:r>
      <w:proofErr w:type="gramStart"/>
      <w:r w:rsidRPr="00ED0EE4">
        <w:rPr>
          <w:rFonts w:cs="Arial"/>
          <w:i/>
          <w:szCs w:val="22"/>
          <w:lang w:val="fr-FR"/>
        </w:rPr>
        <w:t>à</w:t>
      </w:r>
      <w:proofErr w:type="gramEnd"/>
      <w:r w:rsidRPr="00ED0EE4">
        <w:rPr>
          <w:rFonts w:cs="Arial"/>
          <w:i/>
          <w:szCs w:val="22"/>
          <w:lang w:val="fr-FR"/>
        </w:rPr>
        <w:t xml:space="preserve"> désigner</w:t>
      </w:r>
      <w:r w:rsidRPr="00ED0EE4">
        <w:rPr>
          <w:szCs w:val="22"/>
          <w:lang w:val="fr-FR"/>
        </w:rPr>
        <w:t>]</w:t>
      </w:r>
      <w:bookmarkEnd w:id="3"/>
    </w:p>
    <w:p w:rsidR="00886248" w:rsidRPr="00ED0EE4" w:rsidRDefault="00886248" w:rsidP="00886248">
      <w:pPr>
        <w:pStyle w:val="CH2"/>
        <w:rPr>
          <w:lang w:val="fr-FR"/>
        </w:rPr>
      </w:pPr>
      <w:bookmarkStart w:id="4" w:name="_DV_C1173"/>
      <w:r w:rsidRPr="00ED0EE4">
        <w:rPr>
          <w:lang w:val="fr-FR"/>
        </w:rPr>
        <w:tab/>
      </w:r>
      <w:r w:rsidRPr="00ED0EE4">
        <w:rPr>
          <w:lang w:val="fr-FR"/>
        </w:rPr>
        <w:tab/>
        <w:t xml:space="preserve">États d’Asie et du Pacifique </w:t>
      </w:r>
      <w:bookmarkEnd w:id="4"/>
    </w:p>
    <w:p w:rsidR="00886248" w:rsidRPr="00ED0EE4" w:rsidRDefault="00886248" w:rsidP="00886248">
      <w:pPr>
        <w:pStyle w:val="NormalNonumber"/>
        <w:spacing w:after="0"/>
        <w:rPr>
          <w:szCs w:val="24"/>
          <w:lang w:val="fr-FR"/>
        </w:rPr>
      </w:pPr>
      <w:bookmarkStart w:id="5" w:name="_DV_C1174"/>
      <w:r w:rsidRPr="00ED0EE4">
        <w:rPr>
          <w:szCs w:val="24"/>
          <w:lang w:val="fr-FR"/>
        </w:rPr>
        <w:tab/>
        <w:t>Mme Sun </w:t>
      </w:r>
      <w:proofErr w:type="spellStart"/>
      <w:r w:rsidRPr="00ED0EE4">
        <w:rPr>
          <w:szCs w:val="24"/>
          <w:lang w:val="fr-FR"/>
        </w:rPr>
        <w:t>Jinye</w:t>
      </w:r>
      <w:proofErr w:type="spellEnd"/>
      <w:r w:rsidRPr="00ED0EE4">
        <w:rPr>
          <w:szCs w:val="24"/>
          <w:lang w:val="fr-FR"/>
        </w:rPr>
        <w:t xml:space="preserve"> (Chine)</w:t>
      </w:r>
    </w:p>
    <w:p w:rsidR="00886248" w:rsidRPr="000159DC" w:rsidRDefault="00886248" w:rsidP="00886248">
      <w:pPr>
        <w:pStyle w:val="NormalNonumber"/>
        <w:spacing w:after="0"/>
        <w:rPr>
          <w:szCs w:val="24"/>
          <w:lang w:val="en-US"/>
        </w:rPr>
      </w:pPr>
      <w:r w:rsidRPr="00ED0EE4">
        <w:rPr>
          <w:szCs w:val="24"/>
          <w:lang w:val="fr-FR"/>
        </w:rPr>
        <w:tab/>
      </w:r>
      <w:r w:rsidRPr="000159DC">
        <w:rPr>
          <w:szCs w:val="24"/>
          <w:lang w:val="en-US"/>
        </w:rPr>
        <w:t>M. Shankar Prasad </w:t>
      </w:r>
      <w:proofErr w:type="spellStart"/>
      <w:r w:rsidRPr="000159DC">
        <w:rPr>
          <w:szCs w:val="24"/>
          <w:lang w:val="en-US"/>
        </w:rPr>
        <w:t>Paudel</w:t>
      </w:r>
      <w:proofErr w:type="spellEnd"/>
      <w:r w:rsidRPr="000159DC">
        <w:rPr>
          <w:szCs w:val="24"/>
          <w:lang w:val="en-US"/>
        </w:rPr>
        <w:t xml:space="preserve"> (</w:t>
      </w:r>
      <w:proofErr w:type="spellStart"/>
      <w:r w:rsidRPr="000159DC">
        <w:rPr>
          <w:szCs w:val="24"/>
          <w:lang w:val="en-US"/>
        </w:rPr>
        <w:t>Népal</w:t>
      </w:r>
      <w:proofErr w:type="spellEnd"/>
      <w:r w:rsidRPr="000159DC">
        <w:rPr>
          <w:szCs w:val="24"/>
          <w:lang w:val="en-US"/>
        </w:rPr>
        <w:t>)</w:t>
      </w:r>
    </w:p>
    <w:p w:rsidR="00886248" w:rsidRPr="000159DC" w:rsidRDefault="00886248" w:rsidP="00886248">
      <w:pPr>
        <w:pStyle w:val="NormalNonumber"/>
        <w:spacing w:after="0"/>
        <w:rPr>
          <w:szCs w:val="24"/>
          <w:lang w:val="en-US"/>
        </w:rPr>
      </w:pPr>
      <w:r w:rsidRPr="000159DC">
        <w:rPr>
          <w:szCs w:val="24"/>
          <w:lang w:val="en-US"/>
        </w:rPr>
        <w:tab/>
        <w:t>M. </w:t>
      </w:r>
      <w:proofErr w:type="spellStart"/>
      <w:r w:rsidRPr="000159DC">
        <w:rPr>
          <w:szCs w:val="24"/>
          <w:lang w:val="en-US"/>
        </w:rPr>
        <w:t>Iftikahr</w:t>
      </w:r>
      <w:proofErr w:type="spellEnd"/>
      <w:r w:rsidRPr="000159DC">
        <w:rPr>
          <w:szCs w:val="24"/>
          <w:lang w:val="en-US"/>
        </w:rPr>
        <w:noBreakHyphen/>
      </w:r>
      <w:proofErr w:type="spellStart"/>
      <w:r w:rsidRPr="000159DC">
        <w:rPr>
          <w:szCs w:val="24"/>
          <w:lang w:val="en-US"/>
        </w:rPr>
        <w:t>ul</w:t>
      </w:r>
      <w:proofErr w:type="spellEnd"/>
      <w:r w:rsidRPr="000159DC">
        <w:rPr>
          <w:szCs w:val="24"/>
          <w:lang w:val="en-US"/>
        </w:rPr>
        <w:noBreakHyphen/>
        <w:t>Hassan Gilani (Pakistan)</w:t>
      </w:r>
    </w:p>
    <w:p w:rsidR="00886248" w:rsidRPr="000159DC" w:rsidRDefault="00886248" w:rsidP="00886248">
      <w:pPr>
        <w:pStyle w:val="NormalNonumber"/>
        <w:spacing w:after="0"/>
        <w:rPr>
          <w:szCs w:val="24"/>
          <w:lang w:val="en-US"/>
        </w:rPr>
      </w:pPr>
      <w:r w:rsidRPr="000159DC">
        <w:rPr>
          <w:szCs w:val="24"/>
          <w:lang w:val="en-US"/>
        </w:rPr>
        <w:tab/>
        <w:t>M. </w:t>
      </w:r>
      <w:proofErr w:type="spellStart"/>
      <w:r w:rsidRPr="000159DC">
        <w:rPr>
          <w:szCs w:val="24"/>
          <w:lang w:val="en-US"/>
        </w:rPr>
        <w:t>Nuansri</w:t>
      </w:r>
      <w:proofErr w:type="spellEnd"/>
      <w:r w:rsidRPr="000159DC">
        <w:rPr>
          <w:szCs w:val="24"/>
          <w:lang w:val="en-US"/>
        </w:rPr>
        <w:t> </w:t>
      </w:r>
      <w:proofErr w:type="spellStart"/>
      <w:r w:rsidRPr="000159DC">
        <w:rPr>
          <w:szCs w:val="24"/>
          <w:lang w:val="en-US"/>
        </w:rPr>
        <w:t>Tayaputch</w:t>
      </w:r>
      <w:proofErr w:type="spellEnd"/>
      <w:r w:rsidRPr="000159DC">
        <w:rPr>
          <w:szCs w:val="24"/>
          <w:lang w:val="en-US"/>
        </w:rPr>
        <w:t xml:space="preserve"> (</w:t>
      </w:r>
      <w:proofErr w:type="spellStart"/>
      <w:r w:rsidRPr="000159DC">
        <w:rPr>
          <w:szCs w:val="24"/>
          <w:lang w:val="en-US"/>
        </w:rPr>
        <w:t>Thaïlande</w:t>
      </w:r>
      <w:proofErr w:type="spellEnd"/>
      <w:r w:rsidRPr="000159DC">
        <w:rPr>
          <w:szCs w:val="24"/>
          <w:lang w:val="en-US"/>
        </w:rPr>
        <w:t>)</w:t>
      </w:r>
      <w:bookmarkEnd w:id="5"/>
    </w:p>
    <w:p w:rsidR="00886248" w:rsidRPr="00ED0EE4" w:rsidRDefault="00886248" w:rsidP="00886248">
      <w:pPr>
        <w:pStyle w:val="Normalnumber"/>
        <w:keepLines/>
        <w:numPr>
          <w:ilvl w:val="0"/>
          <w:numId w:val="0"/>
        </w:numPr>
        <w:spacing w:before="120"/>
        <w:ind w:left="1247"/>
        <w:rPr>
          <w:b/>
          <w:sz w:val="24"/>
          <w:szCs w:val="24"/>
          <w:lang w:val="fr-FR"/>
        </w:rPr>
      </w:pPr>
      <w:bookmarkStart w:id="6" w:name="_Hlk491068979"/>
      <w:bookmarkStart w:id="7" w:name="_DV_C1175"/>
      <w:r w:rsidRPr="00ED0EE4">
        <w:rPr>
          <w:b/>
          <w:sz w:val="24"/>
          <w:szCs w:val="24"/>
          <w:lang w:val="fr-FR"/>
        </w:rPr>
        <w:t xml:space="preserve">États d’Europe </w:t>
      </w:r>
      <w:bookmarkEnd w:id="6"/>
      <w:r w:rsidRPr="00ED0EE4">
        <w:rPr>
          <w:b/>
          <w:sz w:val="24"/>
          <w:szCs w:val="24"/>
          <w:lang w:val="fr-FR"/>
        </w:rPr>
        <w:t xml:space="preserve">centrale et orientale </w:t>
      </w:r>
      <w:bookmarkEnd w:id="7"/>
    </w:p>
    <w:p w:rsidR="00886248" w:rsidRPr="00ED0EE4" w:rsidRDefault="00886248" w:rsidP="00886248">
      <w:pPr>
        <w:pStyle w:val="NormalNonumber"/>
        <w:spacing w:after="0"/>
        <w:rPr>
          <w:szCs w:val="24"/>
          <w:lang w:val="fr-FR"/>
        </w:rPr>
      </w:pPr>
      <w:bookmarkStart w:id="8" w:name="_DV_C1176"/>
      <w:r w:rsidRPr="00ED0EE4">
        <w:rPr>
          <w:szCs w:val="24"/>
          <w:lang w:val="fr-FR"/>
        </w:rPr>
        <w:tab/>
        <w:t>Mme </w:t>
      </w:r>
      <w:proofErr w:type="spellStart"/>
      <w:r w:rsidRPr="00ED0EE4">
        <w:rPr>
          <w:szCs w:val="24"/>
          <w:lang w:val="fr-FR"/>
        </w:rPr>
        <w:t>Līga</w:t>
      </w:r>
      <w:proofErr w:type="spellEnd"/>
      <w:r w:rsidRPr="00ED0EE4">
        <w:rPr>
          <w:szCs w:val="24"/>
          <w:lang w:val="fr-FR"/>
        </w:rPr>
        <w:t> </w:t>
      </w:r>
      <w:proofErr w:type="spellStart"/>
      <w:r w:rsidRPr="00ED0EE4">
        <w:rPr>
          <w:szCs w:val="24"/>
          <w:lang w:val="fr-FR"/>
        </w:rPr>
        <w:t>Rubene</w:t>
      </w:r>
      <w:proofErr w:type="spellEnd"/>
      <w:r w:rsidRPr="00ED0EE4">
        <w:rPr>
          <w:szCs w:val="24"/>
          <w:lang w:val="fr-FR"/>
        </w:rPr>
        <w:t xml:space="preserve"> (Lettonie)</w:t>
      </w:r>
    </w:p>
    <w:p w:rsidR="00886248" w:rsidRPr="00ED0EE4" w:rsidRDefault="00886248" w:rsidP="00886248">
      <w:pPr>
        <w:pStyle w:val="NormalNonumber"/>
        <w:spacing w:after="0"/>
        <w:rPr>
          <w:szCs w:val="22"/>
          <w:lang w:val="fr-FR"/>
        </w:rPr>
      </w:pPr>
      <w:r w:rsidRPr="00ED0EE4">
        <w:rPr>
          <w:szCs w:val="24"/>
          <w:lang w:val="fr-FR"/>
        </w:rPr>
        <w:lastRenderedPageBreak/>
        <w:tab/>
        <w:t>Mme </w:t>
      </w:r>
      <w:r w:rsidRPr="00ED0EE4">
        <w:rPr>
          <w:rFonts w:cs="Arial"/>
          <w:szCs w:val="22"/>
          <w:lang w:val="fr-FR"/>
        </w:rPr>
        <w:t>Dorota </w:t>
      </w:r>
      <w:proofErr w:type="spellStart"/>
      <w:r w:rsidRPr="00ED0EE4">
        <w:rPr>
          <w:rFonts w:cs="Arial"/>
          <w:szCs w:val="22"/>
          <w:lang w:val="fr-FR"/>
        </w:rPr>
        <w:t>Wiaderna</w:t>
      </w:r>
      <w:proofErr w:type="spellEnd"/>
      <w:r w:rsidRPr="00ED0EE4">
        <w:rPr>
          <w:rFonts w:cs="Arial"/>
          <w:szCs w:val="22"/>
          <w:lang w:val="fr-FR"/>
        </w:rPr>
        <w:t xml:space="preserve"> (</w:t>
      </w:r>
      <w:r w:rsidRPr="00ED0EE4">
        <w:rPr>
          <w:szCs w:val="22"/>
          <w:lang w:val="fr-FR"/>
        </w:rPr>
        <w:t>Pologne</w:t>
      </w:r>
      <w:r w:rsidRPr="00ED0EE4">
        <w:rPr>
          <w:rFonts w:cs="Arial"/>
          <w:szCs w:val="22"/>
          <w:lang w:val="fr-FR"/>
        </w:rPr>
        <w:t>)</w:t>
      </w:r>
      <w:bookmarkEnd w:id="8"/>
    </w:p>
    <w:p w:rsidR="00886248" w:rsidRPr="00ED0EE4" w:rsidRDefault="00886248" w:rsidP="00886248">
      <w:pPr>
        <w:pStyle w:val="Normalnumber"/>
        <w:keepLines/>
        <w:numPr>
          <w:ilvl w:val="0"/>
          <w:numId w:val="0"/>
        </w:numPr>
        <w:spacing w:before="120"/>
        <w:ind w:left="1247"/>
        <w:rPr>
          <w:b/>
          <w:sz w:val="24"/>
          <w:szCs w:val="24"/>
          <w:lang w:val="fr-FR"/>
        </w:rPr>
      </w:pPr>
      <w:bookmarkStart w:id="9" w:name="_DV_C1179"/>
      <w:r w:rsidRPr="00ED0EE4">
        <w:rPr>
          <w:b/>
          <w:sz w:val="24"/>
          <w:szCs w:val="24"/>
          <w:lang w:val="fr-FR"/>
        </w:rPr>
        <w:t xml:space="preserve">États d’Europe occidentale et autres États </w:t>
      </w:r>
      <w:bookmarkEnd w:id="9"/>
    </w:p>
    <w:p w:rsidR="00886248" w:rsidRPr="00ED0EE4" w:rsidRDefault="00886248" w:rsidP="00886248">
      <w:pPr>
        <w:pStyle w:val="NormalNonumber"/>
        <w:ind w:left="1843"/>
        <w:rPr>
          <w:bCs/>
          <w:iCs/>
          <w:lang w:val="fr-FR"/>
        </w:rPr>
      </w:pPr>
      <w:bookmarkStart w:id="10" w:name="_DV_C1180"/>
      <w:r w:rsidRPr="00ED0EE4">
        <w:rPr>
          <w:szCs w:val="24"/>
          <w:lang w:val="fr-FR"/>
        </w:rPr>
        <w:t>M. </w:t>
      </w:r>
      <w:proofErr w:type="spellStart"/>
      <w:r w:rsidRPr="00ED0EE4">
        <w:rPr>
          <w:szCs w:val="24"/>
          <w:lang w:val="fr-FR"/>
        </w:rPr>
        <w:t>Jeffery</w:t>
      </w:r>
      <w:proofErr w:type="spellEnd"/>
      <w:r w:rsidRPr="00ED0EE4">
        <w:rPr>
          <w:szCs w:val="24"/>
          <w:lang w:val="fr-FR"/>
        </w:rPr>
        <w:t xml:space="preserve"> Goodman (Canada) </w:t>
      </w:r>
      <w:r w:rsidRPr="00ED0EE4">
        <w:rPr>
          <w:szCs w:val="24"/>
          <w:lang w:val="fr-FR"/>
        </w:rPr>
        <w:br/>
        <w:t>M. Timo </w:t>
      </w:r>
      <w:proofErr w:type="spellStart"/>
      <w:r w:rsidRPr="00ED0EE4">
        <w:rPr>
          <w:szCs w:val="24"/>
          <w:lang w:val="fr-FR"/>
        </w:rPr>
        <w:t>Seppälä</w:t>
      </w:r>
      <w:proofErr w:type="spellEnd"/>
      <w:r w:rsidRPr="00ED0EE4">
        <w:rPr>
          <w:szCs w:val="24"/>
          <w:lang w:val="fr-FR"/>
        </w:rPr>
        <w:t xml:space="preserve"> (Finlande) </w:t>
      </w:r>
      <w:r w:rsidRPr="00ED0EE4">
        <w:rPr>
          <w:szCs w:val="24"/>
          <w:lang w:val="fr-FR"/>
        </w:rPr>
        <w:br/>
        <w:t>M. Peter </w:t>
      </w:r>
      <w:proofErr w:type="spellStart"/>
      <w:r w:rsidRPr="00ED0EE4">
        <w:rPr>
          <w:lang w:val="fr-FR"/>
        </w:rPr>
        <w:t>Korytár</w:t>
      </w:r>
      <w:proofErr w:type="spellEnd"/>
      <w:r w:rsidRPr="00ED0EE4">
        <w:rPr>
          <w:szCs w:val="24"/>
          <w:lang w:val="fr-FR"/>
        </w:rPr>
        <w:t xml:space="preserve"> (Malte) </w:t>
      </w:r>
      <w:r w:rsidRPr="00ED0EE4">
        <w:rPr>
          <w:szCs w:val="24"/>
          <w:lang w:val="fr-FR"/>
        </w:rPr>
        <w:br/>
        <w:t>M. Peter </w:t>
      </w:r>
      <w:r w:rsidRPr="00ED0EE4">
        <w:rPr>
          <w:iCs/>
          <w:lang w:val="fr-FR"/>
        </w:rPr>
        <w:t>Alistair</w:t>
      </w:r>
      <w:r w:rsidRPr="00ED0EE4">
        <w:rPr>
          <w:szCs w:val="24"/>
          <w:lang w:val="fr-FR"/>
        </w:rPr>
        <w:t xml:space="preserve"> Dawson (Nouvelle-Zélande)</w:t>
      </w:r>
      <w:bookmarkEnd w:id="10"/>
    </w:p>
    <w:p w:rsidR="00C57968" w:rsidRDefault="00C57968">
      <w:bookmarkStart w:id="11" w:name="_GoBack"/>
      <w:bookmarkEnd w:id="11"/>
    </w:p>
    <w:sectPr w:rsidR="00C579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73" w:rsidRDefault="00E25E73" w:rsidP="00886248">
      <w:pPr>
        <w:spacing w:after="0" w:line="240" w:lineRule="auto"/>
      </w:pPr>
      <w:r>
        <w:separator/>
      </w:r>
    </w:p>
  </w:endnote>
  <w:endnote w:type="continuationSeparator" w:id="0">
    <w:p w:rsidR="00E25E73" w:rsidRDefault="00E25E73" w:rsidP="00886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73" w:rsidRDefault="00E25E73" w:rsidP="00886248">
      <w:pPr>
        <w:spacing w:after="0" w:line="240" w:lineRule="auto"/>
      </w:pPr>
      <w:r>
        <w:separator/>
      </w:r>
    </w:p>
  </w:footnote>
  <w:footnote w:type="continuationSeparator" w:id="0">
    <w:p w:rsidR="00E25E73" w:rsidRDefault="00E25E73" w:rsidP="00886248">
      <w:pPr>
        <w:spacing w:after="0" w:line="240" w:lineRule="auto"/>
      </w:pPr>
      <w:r>
        <w:continuationSeparator/>
      </w:r>
    </w:p>
  </w:footnote>
  <w:footnote w:id="1">
    <w:p w:rsidR="00886248" w:rsidRDefault="00886248" w:rsidP="00886248">
      <w:pPr>
        <w:pStyle w:val="FootnoteText"/>
        <w:tabs>
          <w:tab w:val="clear" w:pos="1814"/>
          <w:tab w:val="clear" w:pos="2381"/>
          <w:tab w:val="clear" w:pos="2948"/>
          <w:tab w:val="clear" w:pos="3515"/>
          <w:tab w:val="left" w:pos="624"/>
        </w:tabs>
        <w:rPr>
          <w:szCs w:val="18"/>
        </w:rPr>
      </w:pPr>
      <w:r>
        <w:rPr>
          <w:rStyle w:val="FootnoteReference"/>
        </w:rPr>
        <w:footnoteRef/>
      </w:r>
      <w:r>
        <w:t xml:space="preserve"> UNEP/FAO/RC/CRC.11/9 et UNEP/FAO/RC/CRC.12/9.</w:t>
      </w:r>
    </w:p>
  </w:footnote>
  <w:footnote w:id="2">
    <w:p w:rsidR="00886248" w:rsidRDefault="00886248" w:rsidP="00886248">
      <w:pPr>
        <w:pStyle w:val="FootnoteText"/>
        <w:tabs>
          <w:tab w:val="clear" w:pos="1814"/>
          <w:tab w:val="clear" w:pos="2381"/>
          <w:tab w:val="clear" w:pos="2948"/>
          <w:tab w:val="clear" w:pos="3515"/>
          <w:tab w:val="left" w:pos="624"/>
        </w:tabs>
        <w:snapToGrid w:val="0"/>
        <w:rPr>
          <w:szCs w:val="18"/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UNEP/FAO/RC/CRC.12/INF/3/Rev.1.</w:t>
      </w:r>
    </w:p>
  </w:footnote>
  <w:footnote w:id="3">
    <w:p w:rsidR="00886248" w:rsidRDefault="00886248" w:rsidP="00886248">
      <w:pPr>
        <w:pStyle w:val="FootnoteText"/>
      </w:pPr>
      <w:r>
        <w:rPr>
          <w:rStyle w:val="FootnoteReference"/>
        </w:rPr>
        <w:footnoteRef/>
      </w:r>
      <w:r>
        <w:t xml:space="preserve"> Les curriculum vitæ des experts figurent dans le document UNEP/FAO/RC/COP.8/INF/52.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">
    <w:nsid w:val="62291BF8"/>
    <w:multiLevelType w:val="multilevel"/>
    <w:tmpl w:val="F4ACF36E"/>
    <w:numStyleLink w:val="Normallist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48"/>
    <w:rsid w:val="00886248"/>
    <w:rsid w:val="00C57968"/>
    <w:rsid w:val="00E25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8624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 w:line="240" w:lineRule="auto"/>
      <w:ind w:left="1247"/>
    </w:pPr>
    <w:rPr>
      <w:rFonts w:ascii="Times New Roman" w:eastAsia="Times New Roman" w:hAnsi="Times New Roman" w:cs="Times New Roman"/>
      <w:sz w:val="18"/>
      <w:szCs w:val="20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886248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886248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886248"/>
    <w:pPr>
      <w:numPr>
        <w:numId w:val="1"/>
      </w:numPr>
    </w:pPr>
  </w:style>
  <w:style w:type="paragraph" w:customStyle="1" w:styleId="Normalnumber">
    <w:name w:val="Normal_number"/>
    <w:basedOn w:val="Normal"/>
    <w:link w:val="NormalnumberChar"/>
    <w:rsid w:val="00886248"/>
    <w:pPr>
      <w:numPr>
        <w:numId w:val="2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BBTitle">
    <w:name w:val="BB_Title"/>
    <w:basedOn w:val="Normal"/>
    <w:rsid w:val="00886248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8624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 w:line="240" w:lineRule="auto"/>
      <w:ind w:left="1247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CH2">
    <w:name w:val="CH2"/>
    <w:basedOn w:val="Normal"/>
    <w:next w:val="Normalnumber"/>
    <w:link w:val="CH2Char"/>
    <w:rsid w:val="00886248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customStyle="1" w:styleId="CH1">
    <w:name w:val="CH1"/>
    <w:basedOn w:val="Normal"/>
    <w:next w:val="CH2"/>
    <w:rsid w:val="00886248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8"/>
      <w:szCs w:val="28"/>
      <w:lang w:val="fr-CA"/>
    </w:rPr>
  </w:style>
  <w:style w:type="character" w:customStyle="1" w:styleId="CH2Char">
    <w:name w:val="CH2 Char"/>
    <w:link w:val="CH2"/>
    <w:locked/>
    <w:rsid w:val="00886248"/>
    <w:rPr>
      <w:rFonts w:ascii="Times New Roman" w:eastAsia="Times New Roman" w:hAnsi="Times New Roman" w:cs="Times New Roman"/>
      <w:b/>
      <w:sz w:val="24"/>
      <w:szCs w:val="24"/>
      <w:lang w:val="fr-CA"/>
    </w:rPr>
  </w:style>
  <w:style w:type="character" w:customStyle="1" w:styleId="NormalnumberChar">
    <w:name w:val="Normal_number Char"/>
    <w:link w:val="Normalnumber"/>
    <w:locked/>
    <w:rsid w:val="00886248"/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NormalNonumberChar">
    <w:name w:val="Normal_No_number Char"/>
    <w:link w:val="NormalNonumber"/>
    <w:locked/>
    <w:rsid w:val="00886248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8624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 w:line="240" w:lineRule="auto"/>
      <w:ind w:left="1247"/>
    </w:pPr>
    <w:rPr>
      <w:rFonts w:ascii="Times New Roman" w:eastAsia="Times New Roman" w:hAnsi="Times New Roman" w:cs="Times New Roman"/>
      <w:sz w:val="18"/>
      <w:szCs w:val="20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886248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886248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886248"/>
    <w:pPr>
      <w:numPr>
        <w:numId w:val="1"/>
      </w:numPr>
    </w:pPr>
  </w:style>
  <w:style w:type="paragraph" w:customStyle="1" w:styleId="Normalnumber">
    <w:name w:val="Normal_number"/>
    <w:basedOn w:val="Normal"/>
    <w:link w:val="NormalnumberChar"/>
    <w:rsid w:val="00886248"/>
    <w:pPr>
      <w:numPr>
        <w:numId w:val="2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BBTitle">
    <w:name w:val="BB_Title"/>
    <w:basedOn w:val="Normal"/>
    <w:rsid w:val="00886248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320" w:after="240" w:line="240" w:lineRule="auto"/>
      <w:ind w:left="1247" w:right="567"/>
    </w:pPr>
    <w:rPr>
      <w:rFonts w:ascii="Times New Roman" w:eastAsia="Times New Roman" w:hAnsi="Times New Roman" w:cs="Times New Roman"/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8624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 w:line="240" w:lineRule="auto"/>
      <w:ind w:left="1247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CH2">
    <w:name w:val="CH2"/>
    <w:basedOn w:val="Normal"/>
    <w:next w:val="Normalnumber"/>
    <w:link w:val="CH2Char"/>
    <w:rsid w:val="00886248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4"/>
      <w:szCs w:val="24"/>
      <w:lang w:val="fr-CA"/>
    </w:rPr>
  </w:style>
  <w:style w:type="paragraph" w:customStyle="1" w:styleId="CH1">
    <w:name w:val="CH1"/>
    <w:basedOn w:val="Normal"/>
    <w:next w:val="CH2"/>
    <w:rsid w:val="00886248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8"/>
      <w:szCs w:val="28"/>
      <w:lang w:val="fr-CA"/>
    </w:rPr>
  </w:style>
  <w:style w:type="character" w:customStyle="1" w:styleId="CH2Char">
    <w:name w:val="CH2 Char"/>
    <w:link w:val="CH2"/>
    <w:locked/>
    <w:rsid w:val="00886248"/>
    <w:rPr>
      <w:rFonts w:ascii="Times New Roman" w:eastAsia="Times New Roman" w:hAnsi="Times New Roman" w:cs="Times New Roman"/>
      <w:b/>
      <w:sz w:val="24"/>
      <w:szCs w:val="24"/>
      <w:lang w:val="fr-CA"/>
    </w:rPr>
  </w:style>
  <w:style w:type="character" w:customStyle="1" w:styleId="NormalnumberChar">
    <w:name w:val="Normal_number Char"/>
    <w:link w:val="Normalnumber"/>
    <w:locked/>
    <w:rsid w:val="00886248"/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NormalNonumberChar">
    <w:name w:val="Normal_No_number Char"/>
    <w:link w:val="NormalNonumber"/>
    <w:locked/>
    <w:rsid w:val="00886248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1831</Characters>
  <Application>Microsoft Office Word</Application>
  <DocSecurity>0</DocSecurity>
  <Lines>15</Lines>
  <Paragraphs>4</Paragraphs>
  <ScaleCrop>false</ScaleCrop>
  <Company>UNEP/BRS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2018-01-29T10:33:00Z</dcterms:created>
  <dcterms:modified xsi:type="dcterms:W3CDTF">2018-01-29T10:34:00Z</dcterms:modified>
</cp:coreProperties>
</file>