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888" w:rsidRPr="00BA6888" w:rsidRDefault="00BA6888" w:rsidP="00BA6888">
      <w:pPr>
        <w:tabs>
          <w:tab w:val="left" w:pos="624"/>
          <w:tab w:val="left" w:pos="4082"/>
        </w:tabs>
        <w:spacing w:after="120"/>
        <w:ind w:left="1191"/>
        <w:rPr>
          <w:b/>
          <w:sz w:val="28"/>
          <w:szCs w:val="28"/>
          <w:lang w:val="es-ES"/>
        </w:rPr>
      </w:pPr>
      <w:bookmarkStart w:id="0" w:name="_GoBack"/>
      <w:bookmarkEnd w:id="0"/>
      <w:r w:rsidRPr="00BA6888">
        <w:rPr>
          <w:b/>
          <w:sz w:val="28"/>
          <w:szCs w:val="28"/>
          <w:lang w:val="es-ES"/>
        </w:rPr>
        <w:t>RC</w:t>
      </w:r>
      <w:r w:rsidRPr="00BA6888">
        <w:rPr>
          <w:b/>
          <w:sz w:val="28"/>
          <w:szCs w:val="28"/>
          <w:lang w:val="es-ES"/>
        </w:rPr>
        <w:noBreakHyphen/>
        <w:t>8/1: Funcionamiento del Comité de Examen de Productos Químicos</w:t>
      </w:r>
    </w:p>
    <w:p w:rsidR="00BA6888" w:rsidRPr="00BA6888" w:rsidRDefault="00BA6888" w:rsidP="00BA6888">
      <w:pPr>
        <w:tabs>
          <w:tab w:val="left" w:pos="624"/>
        </w:tabs>
        <w:autoSpaceDE w:val="0"/>
        <w:autoSpaceDN w:val="0"/>
        <w:adjustRightInd w:val="0"/>
        <w:spacing w:after="120"/>
        <w:ind w:left="1219" w:firstLine="624"/>
        <w:rPr>
          <w:i/>
          <w:sz w:val="20"/>
        </w:rPr>
      </w:pPr>
      <w:r w:rsidRPr="00BA6888">
        <w:rPr>
          <w:i/>
          <w:iCs/>
          <w:lang w:val="es-ES"/>
        </w:rPr>
        <w:t>La Conferencia de las Partes</w:t>
      </w:r>
    </w:p>
    <w:p w:rsidR="00BA6888" w:rsidRPr="00BA6888" w:rsidRDefault="00BA6888" w:rsidP="00BA6888">
      <w:pPr>
        <w:numPr>
          <w:ilvl w:val="0"/>
          <w:numId w:val="3"/>
        </w:numPr>
        <w:tabs>
          <w:tab w:val="left" w:pos="624"/>
        </w:tabs>
        <w:spacing w:after="120"/>
        <w:ind w:left="1219" w:firstLine="624"/>
        <w:rPr>
          <w:sz w:val="20"/>
          <w:lang w:val="es-ES"/>
        </w:rPr>
      </w:pPr>
      <w:r w:rsidRPr="00BA6888">
        <w:rPr>
          <w:i/>
          <w:iCs/>
          <w:sz w:val="20"/>
          <w:lang w:val="es-ES"/>
        </w:rPr>
        <w:t>Toma nota</w:t>
      </w:r>
      <w:r w:rsidRPr="00BA6888">
        <w:rPr>
          <w:sz w:val="20"/>
          <w:lang w:val="es-ES"/>
        </w:rPr>
        <w:t xml:space="preserve"> de la información suministrada en el informe del Comité de Examen de Productos Químicos sobre la labor realizada en sus reuniones 11ª y 12ª</w:t>
      </w:r>
      <w:r w:rsidRPr="00BA6888">
        <w:rPr>
          <w:sz w:val="20"/>
          <w:vertAlign w:val="superscript"/>
          <w:lang w:val="es-ES"/>
        </w:rPr>
        <w:footnoteReference w:id="1"/>
      </w:r>
      <w:r w:rsidRPr="00BA6888">
        <w:rPr>
          <w:sz w:val="20"/>
          <w:lang w:val="es-ES"/>
        </w:rPr>
        <w:t>;</w:t>
      </w:r>
    </w:p>
    <w:p w:rsidR="00BA6888" w:rsidRPr="00BA6888" w:rsidRDefault="00BA6888" w:rsidP="00BA6888">
      <w:pPr>
        <w:numPr>
          <w:ilvl w:val="0"/>
          <w:numId w:val="3"/>
        </w:numPr>
        <w:tabs>
          <w:tab w:val="left" w:pos="624"/>
        </w:tabs>
        <w:spacing w:after="120"/>
        <w:ind w:left="1219" w:firstLine="624"/>
        <w:rPr>
          <w:sz w:val="20"/>
          <w:lang w:val="es-ES"/>
        </w:rPr>
      </w:pPr>
      <w:r w:rsidRPr="00BA6888">
        <w:rPr>
          <w:i/>
          <w:iCs/>
          <w:sz w:val="20"/>
          <w:lang w:val="es-ES"/>
        </w:rPr>
        <w:t>Nombra</w:t>
      </w:r>
      <w:r w:rsidRPr="00BA6888">
        <w:rPr>
          <w:sz w:val="20"/>
          <w:lang w:val="es-ES"/>
        </w:rPr>
        <w:t xml:space="preserve"> a los 14 expertos designados que se enumeran en la nota de la Secretaría</w:t>
      </w:r>
      <w:r w:rsidRPr="00BA6888">
        <w:rPr>
          <w:sz w:val="20"/>
          <w:vertAlign w:val="superscript"/>
          <w:lang w:val="es-ES"/>
        </w:rPr>
        <w:footnoteReference w:id="2"/>
      </w:r>
      <w:r w:rsidRPr="00BA6888">
        <w:rPr>
          <w:sz w:val="20"/>
          <w:lang w:val="es-ES"/>
        </w:rPr>
        <w:t xml:space="preserve"> para que desempeñen funciones como miembros del Comité entre el 1 de mayo de 2016 y el 30 de abril de 2020 y confirma el nombramiento del Sr. </w:t>
      </w:r>
      <w:proofErr w:type="spellStart"/>
      <w:r w:rsidRPr="00BA6888">
        <w:rPr>
          <w:sz w:val="20"/>
          <w:lang w:val="es-ES"/>
        </w:rPr>
        <w:t>Iftikhar</w:t>
      </w:r>
      <w:r w:rsidRPr="00BA6888">
        <w:rPr>
          <w:sz w:val="20"/>
          <w:lang w:val="es-ES"/>
        </w:rPr>
        <w:noBreakHyphen/>
        <w:t>Ul</w:t>
      </w:r>
      <w:r w:rsidRPr="00BA6888">
        <w:rPr>
          <w:sz w:val="20"/>
          <w:lang w:val="es-ES"/>
        </w:rPr>
        <w:noBreakHyphen/>
        <w:t>Hassan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Shah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Gilani</w:t>
      </w:r>
      <w:proofErr w:type="spellEnd"/>
      <w:r w:rsidRPr="00BA6888">
        <w:rPr>
          <w:sz w:val="20"/>
          <w:lang w:val="es-ES"/>
        </w:rPr>
        <w:t xml:space="preserve"> (Pakistán) para sustituir a su compatriota, la Sra. </w:t>
      </w:r>
      <w:proofErr w:type="spellStart"/>
      <w:r w:rsidRPr="00BA6888">
        <w:rPr>
          <w:sz w:val="20"/>
          <w:lang w:val="es-ES"/>
        </w:rPr>
        <w:t>Khalida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Bashir</w:t>
      </w:r>
      <w:proofErr w:type="spellEnd"/>
      <w:r w:rsidRPr="00BA6888">
        <w:rPr>
          <w:sz w:val="20"/>
          <w:lang w:val="es-ES"/>
        </w:rPr>
        <w:t>, como miembro del Comité durante el resto del mandato de esta, es decir, hasta el 30 de abril de 2018;</w:t>
      </w:r>
    </w:p>
    <w:p w:rsidR="00BA6888" w:rsidRPr="00BA6888" w:rsidRDefault="00BA6888" w:rsidP="00BA6888">
      <w:pPr>
        <w:numPr>
          <w:ilvl w:val="0"/>
          <w:numId w:val="3"/>
        </w:numPr>
        <w:tabs>
          <w:tab w:val="left" w:pos="624"/>
        </w:tabs>
        <w:spacing w:after="120"/>
        <w:ind w:left="1219" w:firstLine="624"/>
        <w:rPr>
          <w:sz w:val="20"/>
          <w:lang w:val="es-ES"/>
        </w:rPr>
      </w:pPr>
      <w:r w:rsidRPr="00BA6888">
        <w:rPr>
          <w:i/>
          <w:iCs/>
          <w:sz w:val="20"/>
          <w:lang w:val="es-ES"/>
        </w:rPr>
        <w:t>Nombra también</w:t>
      </w:r>
      <w:r w:rsidRPr="00BA6888">
        <w:rPr>
          <w:sz w:val="20"/>
          <w:lang w:val="es-ES"/>
        </w:rPr>
        <w:t xml:space="preserve"> a los 17 expertos designados que se enumeran en el anexo de la presente decisión para que desempeñen funciones como miembros del Comité desde el 1 de mayo de 2018 al 30 de abril de 2022</w:t>
      </w:r>
      <w:r w:rsidRPr="00BA6888">
        <w:rPr>
          <w:sz w:val="20"/>
          <w:vertAlign w:val="superscript"/>
          <w:lang w:val="es-ES"/>
        </w:rPr>
        <w:footnoteReference w:id="3"/>
      </w:r>
      <w:r w:rsidRPr="00BA6888">
        <w:rPr>
          <w:sz w:val="20"/>
          <w:lang w:val="es-ES"/>
        </w:rPr>
        <w:t xml:space="preserve">; </w:t>
      </w:r>
    </w:p>
    <w:p w:rsidR="00BA6888" w:rsidRPr="00BA6888" w:rsidRDefault="00BA6888" w:rsidP="00BA6888">
      <w:pPr>
        <w:numPr>
          <w:ilvl w:val="0"/>
          <w:numId w:val="3"/>
        </w:numPr>
        <w:tabs>
          <w:tab w:val="left" w:pos="624"/>
        </w:tabs>
        <w:spacing w:after="120"/>
        <w:ind w:left="1219" w:firstLine="624"/>
        <w:rPr>
          <w:sz w:val="20"/>
          <w:lang w:val="es-ES"/>
        </w:rPr>
      </w:pPr>
      <w:r w:rsidRPr="00BA6888">
        <w:rPr>
          <w:i/>
          <w:iCs/>
          <w:sz w:val="20"/>
          <w:lang w:val="es-ES"/>
        </w:rPr>
        <w:t>Solicita</w:t>
      </w:r>
      <w:r w:rsidRPr="00BA6888">
        <w:rPr>
          <w:sz w:val="20"/>
          <w:lang w:val="es-ES"/>
        </w:rPr>
        <w:t xml:space="preserve"> al Comité de Examen de Productos Químicos que, en su 13ª reunión, designe a un Presidente interino del Comité para su 14ª reunión y decida estudiar la elección del Presidente del Comité en su novena reunión;</w:t>
      </w:r>
    </w:p>
    <w:p w:rsidR="00BA6888" w:rsidRPr="00BA6888" w:rsidRDefault="00BA6888" w:rsidP="00BA6888">
      <w:pPr>
        <w:numPr>
          <w:ilvl w:val="0"/>
          <w:numId w:val="3"/>
        </w:numPr>
        <w:tabs>
          <w:tab w:val="left" w:pos="624"/>
        </w:tabs>
        <w:spacing w:after="120"/>
        <w:ind w:left="1219" w:firstLine="624"/>
        <w:rPr>
          <w:sz w:val="20"/>
          <w:lang w:val="es-ES"/>
        </w:rPr>
      </w:pPr>
      <w:r w:rsidRPr="00BA6888">
        <w:rPr>
          <w:i/>
          <w:iCs/>
          <w:sz w:val="20"/>
          <w:lang w:val="es-ES"/>
        </w:rPr>
        <w:t>Señala</w:t>
      </w:r>
      <w:r w:rsidRPr="00BA6888">
        <w:rPr>
          <w:sz w:val="20"/>
          <w:lang w:val="es-ES"/>
        </w:rPr>
        <w:t xml:space="preserve"> que la Secretaría celebró un taller de orientación para nuevos miembros y solicita a la Secretaría que, con sujeción a la disponibilidad de recursos, siga organizando talleres de esa índole e informe a la Conferencia de las Partes en su novena reunión sobre los resultados de esa actividad.</w:t>
      </w:r>
    </w:p>
    <w:p w:rsidR="00BA6888" w:rsidRPr="00BA6888" w:rsidRDefault="00BA6888" w:rsidP="00BA6888">
      <w:pPr>
        <w:widowControl w:val="0"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240" w:after="120"/>
        <w:ind w:left="1234"/>
        <w:rPr>
          <w:b/>
          <w:bCs/>
          <w:iCs/>
          <w:sz w:val="28"/>
          <w:szCs w:val="28"/>
          <w:lang w:val="fr-FR"/>
        </w:rPr>
      </w:pPr>
      <w:r w:rsidRPr="00BA6888">
        <w:rPr>
          <w:b/>
          <w:sz w:val="28"/>
          <w:szCs w:val="28"/>
          <w:lang w:val="es-ES"/>
        </w:rPr>
        <w:t>Anexo de la decisión RC</w:t>
      </w:r>
      <w:r w:rsidRPr="00BA6888">
        <w:rPr>
          <w:b/>
          <w:sz w:val="28"/>
          <w:szCs w:val="28"/>
          <w:lang w:val="es-ES"/>
        </w:rPr>
        <w:noBreakHyphen/>
        <w:t>8/1</w:t>
      </w:r>
    </w:p>
    <w:p w:rsidR="00BA6888" w:rsidRPr="00BA6888" w:rsidRDefault="00BA6888" w:rsidP="00BA6888">
      <w:pPr>
        <w:widowControl w:val="0"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after="120"/>
        <w:ind w:left="1234"/>
        <w:rPr>
          <w:b/>
          <w:bCs/>
          <w:iCs/>
          <w:sz w:val="28"/>
          <w:szCs w:val="28"/>
          <w:lang w:val="fr-FR"/>
        </w:rPr>
      </w:pPr>
      <w:r w:rsidRPr="00BA6888">
        <w:rPr>
          <w:b/>
          <w:sz w:val="28"/>
          <w:szCs w:val="28"/>
          <w:lang w:val="es-ES"/>
        </w:rPr>
        <w:t>Expertos designados por las Partes a los que se nombra miembros del Comité de Examen de Productos Químicos con un mandato que comenzará el 1 de mayo de 2018</w:t>
      </w:r>
    </w:p>
    <w:p w:rsidR="00BA6888" w:rsidRPr="00BA6888" w:rsidRDefault="00BA6888" w:rsidP="00BA6888">
      <w:pPr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120" w:after="120"/>
        <w:ind w:left="1247"/>
        <w:rPr>
          <w:b/>
          <w:sz w:val="24"/>
          <w:szCs w:val="24"/>
          <w:lang w:val="fr-FR"/>
        </w:rPr>
      </w:pPr>
      <w:r w:rsidRPr="00BA6888">
        <w:rPr>
          <w:b/>
          <w:sz w:val="24"/>
          <w:szCs w:val="24"/>
          <w:lang w:val="es-ES"/>
        </w:rPr>
        <w:t xml:space="preserve">Estados de África </w:t>
      </w:r>
    </w:p>
    <w:p w:rsidR="00BA6888" w:rsidRPr="00BA6888" w:rsidRDefault="00BA6888" w:rsidP="00BA6888">
      <w:pPr>
        <w:keepLines/>
        <w:spacing w:after="120"/>
        <w:ind w:left="1871"/>
        <w:rPr>
          <w:sz w:val="20"/>
          <w:lang w:val="fr-FR"/>
        </w:rPr>
      </w:pPr>
      <w:r w:rsidRPr="00BA6888">
        <w:rPr>
          <w:sz w:val="20"/>
          <w:lang w:val="fr-FR"/>
        </w:rPr>
        <w:t>Sr. Victor N’</w:t>
      </w:r>
      <w:proofErr w:type="spellStart"/>
      <w:r w:rsidRPr="00BA6888">
        <w:rPr>
          <w:sz w:val="20"/>
          <w:lang w:val="fr-FR"/>
        </w:rPr>
        <w:t>Goka</w:t>
      </w:r>
      <w:proofErr w:type="spellEnd"/>
      <w:r w:rsidRPr="00BA6888">
        <w:rPr>
          <w:sz w:val="20"/>
          <w:lang w:val="fr-FR"/>
        </w:rPr>
        <w:t xml:space="preserve"> (Congo</w:t>
      </w:r>
      <w:proofErr w:type="gramStart"/>
      <w:r w:rsidRPr="00BA6888">
        <w:rPr>
          <w:sz w:val="20"/>
          <w:lang w:val="fr-FR"/>
        </w:rPr>
        <w:t>)</w:t>
      </w:r>
      <w:proofErr w:type="gramEnd"/>
      <w:r w:rsidRPr="00BA6888">
        <w:rPr>
          <w:sz w:val="20"/>
          <w:lang w:val="fr-FR"/>
        </w:rPr>
        <w:br/>
        <w:t xml:space="preserve">Sr. Joseph </w:t>
      </w:r>
      <w:proofErr w:type="spellStart"/>
      <w:r w:rsidRPr="00BA6888">
        <w:rPr>
          <w:sz w:val="20"/>
          <w:lang w:val="fr-FR"/>
        </w:rPr>
        <w:t>Cantamanto</w:t>
      </w:r>
      <w:proofErr w:type="spellEnd"/>
      <w:r w:rsidRPr="00BA6888">
        <w:rPr>
          <w:sz w:val="20"/>
          <w:lang w:val="fr-FR"/>
        </w:rPr>
        <w:t xml:space="preserve"> Edmund (Ghana)</w:t>
      </w:r>
      <w:r w:rsidRPr="00BA6888">
        <w:rPr>
          <w:sz w:val="20"/>
          <w:lang w:val="fr-FR"/>
        </w:rPr>
        <w:br/>
        <w:t xml:space="preserve">Sr. Christian </w:t>
      </w:r>
      <w:proofErr w:type="spellStart"/>
      <w:r w:rsidRPr="00BA6888">
        <w:rPr>
          <w:sz w:val="20"/>
          <w:lang w:val="fr-FR"/>
        </w:rPr>
        <w:t>Sekomo</w:t>
      </w:r>
      <w:proofErr w:type="spellEnd"/>
      <w:r w:rsidRPr="00BA6888">
        <w:rPr>
          <w:sz w:val="20"/>
          <w:lang w:val="fr-FR"/>
        </w:rPr>
        <w:t xml:space="preserve"> </w:t>
      </w:r>
      <w:proofErr w:type="spellStart"/>
      <w:r w:rsidRPr="00BA6888">
        <w:rPr>
          <w:sz w:val="20"/>
          <w:lang w:val="fr-FR"/>
        </w:rPr>
        <w:t>Birame</w:t>
      </w:r>
      <w:proofErr w:type="spellEnd"/>
      <w:r w:rsidRPr="00BA6888">
        <w:rPr>
          <w:sz w:val="20"/>
          <w:lang w:val="fr-FR"/>
        </w:rPr>
        <w:t xml:space="preserve"> (Rwanda) </w:t>
      </w:r>
      <w:r w:rsidRPr="00BA6888">
        <w:rPr>
          <w:sz w:val="20"/>
          <w:lang w:val="fr-FR"/>
        </w:rPr>
        <w:br/>
      </w:r>
      <w:proofErr w:type="spellStart"/>
      <w:r w:rsidRPr="00BA6888">
        <w:rPr>
          <w:sz w:val="20"/>
          <w:lang w:val="fr-FR"/>
        </w:rPr>
        <w:t>Sra</w:t>
      </w:r>
      <w:proofErr w:type="spellEnd"/>
      <w:r w:rsidRPr="00BA6888">
        <w:rPr>
          <w:sz w:val="20"/>
          <w:lang w:val="fr-FR"/>
        </w:rPr>
        <w:t>. </w:t>
      </w:r>
      <w:proofErr w:type="spellStart"/>
      <w:r w:rsidRPr="00BA6888">
        <w:rPr>
          <w:sz w:val="20"/>
          <w:lang w:val="fr-FR"/>
        </w:rPr>
        <w:t>Noluzuko</w:t>
      </w:r>
      <w:proofErr w:type="spellEnd"/>
      <w:r w:rsidRPr="00BA6888">
        <w:rPr>
          <w:sz w:val="20"/>
          <w:lang w:val="fr-FR"/>
        </w:rPr>
        <w:t xml:space="preserve"> </w:t>
      </w:r>
      <w:proofErr w:type="spellStart"/>
      <w:r w:rsidRPr="00BA6888">
        <w:rPr>
          <w:sz w:val="20"/>
          <w:lang w:val="fr-FR"/>
        </w:rPr>
        <w:t>Gwayi</w:t>
      </w:r>
      <w:proofErr w:type="spellEnd"/>
      <w:r w:rsidRPr="00BA6888">
        <w:rPr>
          <w:sz w:val="20"/>
          <w:lang w:val="fr-FR"/>
        </w:rPr>
        <w:t xml:space="preserve"> (</w:t>
      </w:r>
      <w:proofErr w:type="spellStart"/>
      <w:r w:rsidRPr="00BA6888">
        <w:rPr>
          <w:sz w:val="20"/>
          <w:lang w:val="fr-FR"/>
        </w:rPr>
        <w:t>Sudáfrica</w:t>
      </w:r>
      <w:proofErr w:type="spellEnd"/>
      <w:r w:rsidRPr="00BA6888">
        <w:rPr>
          <w:sz w:val="20"/>
          <w:lang w:val="fr-FR"/>
        </w:rPr>
        <w:t>)</w:t>
      </w:r>
    </w:p>
    <w:p w:rsidR="00BA6888" w:rsidRPr="00BA6888" w:rsidRDefault="00BA6888" w:rsidP="00BA6888">
      <w:pPr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120" w:after="120"/>
        <w:ind w:left="1247"/>
        <w:rPr>
          <w:b/>
          <w:sz w:val="24"/>
          <w:szCs w:val="24"/>
          <w:lang w:val="fr-FR"/>
        </w:rPr>
      </w:pPr>
      <w:r w:rsidRPr="00BA6888">
        <w:rPr>
          <w:b/>
          <w:sz w:val="24"/>
          <w:szCs w:val="24"/>
          <w:lang w:val="es-ES"/>
        </w:rPr>
        <w:t xml:space="preserve">Estados de Asia y el Pacífico </w:t>
      </w:r>
    </w:p>
    <w:p w:rsidR="00BA6888" w:rsidRPr="00BA6888" w:rsidRDefault="00BA6888" w:rsidP="00BA6888">
      <w:pPr>
        <w:keepLines/>
        <w:spacing w:after="120"/>
        <w:ind w:left="1871"/>
        <w:rPr>
          <w:iCs/>
          <w:sz w:val="20"/>
          <w:lang w:val="fr-FR"/>
        </w:rPr>
      </w:pPr>
      <w:proofErr w:type="spellStart"/>
      <w:r w:rsidRPr="00BA6888">
        <w:rPr>
          <w:sz w:val="20"/>
          <w:lang w:val="fr-FR"/>
        </w:rPr>
        <w:t>Sra</w:t>
      </w:r>
      <w:proofErr w:type="spellEnd"/>
      <w:r w:rsidRPr="00BA6888">
        <w:rPr>
          <w:sz w:val="20"/>
          <w:lang w:val="fr-FR"/>
        </w:rPr>
        <w:t xml:space="preserve">. Sun </w:t>
      </w:r>
      <w:proofErr w:type="spellStart"/>
      <w:r w:rsidRPr="00BA6888">
        <w:rPr>
          <w:sz w:val="20"/>
          <w:lang w:val="fr-FR"/>
        </w:rPr>
        <w:t>Jinye</w:t>
      </w:r>
      <w:proofErr w:type="spellEnd"/>
      <w:r w:rsidRPr="00BA6888">
        <w:rPr>
          <w:sz w:val="20"/>
          <w:lang w:val="fr-FR"/>
        </w:rPr>
        <w:t xml:space="preserve"> (China</w:t>
      </w:r>
      <w:proofErr w:type="gramStart"/>
      <w:r w:rsidRPr="00BA6888">
        <w:rPr>
          <w:sz w:val="20"/>
          <w:lang w:val="fr-FR"/>
        </w:rPr>
        <w:t>)</w:t>
      </w:r>
      <w:proofErr w:type="gramEnd"/>
      <w:r w:rsidRPr="00BA6888">
        <w:rPr>
          <w:sz w:val="20"/>
          <w:lang w:val="fr-FR"/>
        </w:rPr>
        <w:br/>
        <w:t xml:space="preserve">Sr. Shankar Prasad </w:t>
      </w:r>
      <w:proofErr w:type="spellStart"/>
      <w:r w:rsidRPr="00BA6888">
        <w:rPr>
          <w:sz w:val="20"/>
          <w:lang w:val="fr-FR"/>
        </w:rPr>
        <w:t>Paudel</w:t>
      </w:r>
      <w:proofErr w:type="spellEnd"/>
      <w:r w:rsidRPr="00BA6888">
        <w:rPr>
          <w:sz w:val="20"/>
          <w:lang w:val="fr-FR"/>
        </w:rPr>
        <w:t xml:space="preserve"> (</w:t>
      </w:r>
      <w:proofErr w:type="spellStart"/>
      <w:r w:rsidRPr="00BA6888">
        <w:rPr>
          <w:sz w:val="20"/>
          <w:lang w:val="fr-FR"/>
        </w:rPr>
        <w:t>Nepal</w:t>
      </w:r>
      <w:proofErr w:type="spellEnd"/>
      <w:r w:rsidRPr="00BA6888">
        <w:rPr>
          <w:sz w:val="20"/>
          <w:lang w:val="fr-FR"/>
        </w:rPr>
        <w:t>)</w:t>
      </w:r>
      <w:r w:rsidRPr="00BA6888">
        <w:rPr>
          <w:sz w:val="20"/>
          <w:lang w:val="fr-FR"/>
        </w:rPr>
        <w:br/>
        <w:t>Sr. </w:t>
      </w:r>
      <w:proofErr w:type="spellStart"/>
      <w:r w:rsidRPr="00BA6888">
        <w:rPr>
          <w:sz w:val="20"/>
          <w:lang w:val="fr-FR"/>
        </w:rPr>
        <w:t>Iftikahr</w:t>
      </w:r>
      <w:r w:rsidRPr="00BA6888">
        <w:rPr>
          <w:sz w:val="20"/>
          <w:lang w:val="fr-FR"/>
        </w:rPr>
        <w:noBreakHyphen/>
        <w:t>ul</w:t>
      </w:r>
      <w:r w:rsidRPr="00BA6888">
        <w:rPr>
          <w:sz w:val="20"/>
          <w:lang w:val="fr-FR"/>
        </w:rPr>
        <w:noBreakHyphen/>
        <w:t>Hassan</w:t>
      </w:r>
      <w:proofErr w:type="spellEnd"/>
      <w:r w:rsidRPr="00BA6888">
        <w:rPr>
          <w:sz w:val="20"/>
          <w:lang w:val="fr-FR"/>
        </w:rPr>
        <w:t xml:space="preserve"> </w:t>
      </w:r>
      <w:proofErr w:type="spellStart"/>
      <w:r w:rsidRPr="00BA6888">
        <w:rPr>
          <w:sz w:val="20"/>
          <w:lang w:val="fr-FR"/>
        </w:rPr>
        <w:t>Gilani</w:t>
      </w:r>
      <w:proofErr w:type="spellEnd"/>
      <w:r w:rsidRPr="00BA6888">
        <w:rPr>
          <w:sz w:val="20"/>
          <w:lang w:val="fr-FR"/>
        </w:rPr>
        <w:t xml:space="preserve"> (</w:t>
      </w:r>
      <w:proofErr w:type="spellStart"/>
      <w:r w:rsidRPr="00BA6888">
        <w:rPr>
          <w:sz w:val="20"/>
          <w:lang w:val="fr-FR"/>
        </w:rPr>
        <w:t>Pakistán</w:t>
      </w:r>
      <w:proofErr w:type="spellEnd"/>
      <w:r w:rsidRPr="00BA6888">
        <w:rPr>
          <w:sz w:val="20"/>
          <w:lang w:val="fr-FR"/>
        </w:rPr>
        <w:t>)</w:t>
      </w:r>
      <w:r w:rsidRPr="00BA6888">
        <w:rPr>
          <w:sz w:val="20"/>
          <w:lang w:val="fr-FR"/>
        </w:rPr>
        <w:br/>
        <w:t>Sr. </w:t>
      </w:r>
      <w:proofErr w:type="spellStart"/>
      <w:r w:rsidRPr="00BA6888">
        <w:rPr>
          <w:sz w:val="20"/>
          <w:lang w:val="fr-FR"/>
        </w:rPr>
        <w:t>Nuansri</w:t>
      </w:r>
      <w:proofErr w:type="spellEnd"/>
      <w:r w:rsidRPr="00BA6888">
        <w:rPr>
          <w:sz w:val="20"/>
          <w:lang w:val="fr-FR"/>
        </w:rPr>
        <w:t xml:space="preserve"> </w:t>
      </w:r>
      <w:proofErr w:type="spellStart"/>
      <w:r w:rsidRPr="00BA6888">
        <w:rPr>
          <w:sz w:val="20"/>
          <w:lang w:val="fr-FR"/>
        </w:rPr>
        <w:t>Tayaputch</w:t>
      </w:r>
      <w:proofErr w:type="spellEnd"/>
      <w:r w:rsidRPr="00BA6888">
        <w:rPr>
          <w:sz w:val="20"/>
          <w:lang w:val="fr-FR"/>
        </w:rPr>
        <w:t xml:space="preserve"> (</w:t>
      </w:r>
      <w:proofErr w:type="spellStart"/>
      <w:r w:rsidRPr="00BA6888">
        <w:rPr>
          <w:sz w:val="20"/>
          <w:lang w:val="fr-FR"/>
        </w:rPr>
        <w:t>Tailandia</w:t>
      </w:r>
      <w:proofErr w:type="spellEnd"/>
      <w:r w:rsidRPr="00BA6888">
        <w:rPr>
          <w:sz w:val="20"/>
          <w:lang w:val="fr-FR"/>
        </w:rPr>
        <w:t>)</w:t>
      </w:r>
    </w:p>
    <w:p w:rsidR="00BA6888" w:rsidRPr="00BA6888" w:rsidRDefault="00BA6888" w:rsidP="00BA6888">
      <w:pPr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120" w:after="120"/>
        <w:ind w:left="1247"/>
        <w:rPr>
          <w:b/>
          <w:sz w:val="24"/>
          <w:szCs w:val="24"/>
          <w:lang w:val="fr-FR"/>
        </w:rPr>
      </w:pPr>
      <w:r w:rsidRPr="00BA6888">
        <w:rPr>
          <w:b/>
          <w:sz w:val="24"/>
          <w:szCs w:val="24"/>
          <w:lang w:val="es-ES"/>
        </w:rPr>
        <w:t xml:space="preserve">Estados de Europa Central y Oriental </w:t>
      </w:r>
    </w:p>
    <w:p w:rsidR="00BA6888" w:rsidRPr="00BA6888" w:rsidRDefault="00BA6888" w:rsidP="00BA6888">
      <w:pPr>
        <w:keepLines/>
        <w:spacing w:after="120"/>
        <w:ind w:left="1871"/>
        <w:rPr>
          <w:sz w:val="20"/>
          <w:lang w:val="fr-FR"/>
        </w:rPr>
      </w:pPr>
      <w:r w:rsidRPr="00BA6888">
        <w:rPr>
          <w:sz w:val="20"/>
          <w:lang w:val="es-ES"/>
        </w:rPr>
        <w:t>Sra. </w:t>
      </w:r>
      <w:proofErr w:type="spellStart"/>
      <w:r w:rsidRPr="00BA6888">
        <w:rPr>
          <w:sz w:val="20"/>
          <w:lang w:val="es-ES"/>
        </w:rPr>
        <w:t>Līga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Rubene</w:t>
      </w:r>
      <w:proofErr w:type="spellEnd"/>
      <w:r w:rsidRPr="00BA6888">
        <w:rPr>
          <w:sz w:val="20"/>
          <w:lang w:val="es-ES"/>
        </w:rPr>
        <w:t xml:space="preserve"> (Letonia)</w:t>
      </w:r>
      <w:r w:rsidRPr="00BA6888">
        <w:rPr>
          <w:sz w:val="20"/>
          <w:lang w:val="es-ES"/>
        </w:rPr>
        <w:br/>
        <w:t>Sra. </w:t>
      </w:r>
      <w:proofErr w:type="spellStart"/>
      <w:r w:rsidRPr="00BA6888">
        <w:rPr>
          <w:sz w:val="20"/>
          <w:lang w:val="es-ES"/>
        </w:rPr>
        <w:t>Dorota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Wiaderna</w:t>
      </w:r>
      <w:proofErr w:type="spellEnd"/>
      <w:r w:rsidRPr="00BA6888">
        <w:rPr>
          <w:sz w:val="20"/>
          <w:lang w:val="es-ES"/>
        </w:rPr>
        <w:t xml:space="preserve"> (Polonia)</w:t>
      </w:r>
    </w:p>
    <w:p w:rsidR="00BA6888" w:rsidRPr="00BA6888" w:rsidRDefault="00BA6888" w:rsidP="00BA6888">
      <w:pPr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120" w:after="120"/>
        <w:ind w:left="1247"/>
        <w:rPr>
          <w:b/>
          <w:sz w:val="24"/>
          <w:szCs w:val="24"/>
          <w:lang w:val="fr-FR"/>
        </w:rPr>
      </w:pPr>
      <w:r w:rsidRPr="00BA6888">
        <w:rPr>
          <w:b/>
          <w:sz w:val="24"/>
          <w:szCs w:val="24"/>
          <w:lang w:val="es-ES"/>
        </w:rPr>
        <w:t xml:space="preserve">Estados de América Latina y el Caribe </w:t>
      </w:r>
    </w:p>
    <w:p w:rsidR="00BA6888" w:rsidRPr="00BA6888" w:rsidRDefault="00BA6888" w:rsidP="00BA6888">
      <w:pPr>
        <w:keepLines/>
        <w:spacing w:after="120"/>
        <w:ind w:left="1871"/>
        <w:rPr>
          <w:sz w:val="20"/>
          <w:lang w:val="fr-FR"/>
        </w:rPr>
      </w:pPr>
      <w:r w:rsidRPr="00BA6888">
        <w:rPr>
          <w:sz w:val="20"/>
          <w:lang w:val="es-ES"/>
        </w:rPr>
        <w:lastRenderedPageBreak/>
        <w:t xml:space="preserve">Sra. Cristina Alexandra Salgado Torres (Ecuador) </w:t>
      </w:r>
      <w:r w:rsidRPr="00BA6888">
        <w:rPr>
          <w:sz w:val="20"/>
          <w:lang w:val="es-ES"/>
        </w:rPr>
        <w:br/>
        <w:t>Sr. </w:t>
      </w:r>
      <w:proofErr w:type="spellStart"/>
      <w:r w:rsidRPr="00BA6888">
        <w:rPr>
          <w:sz w:val="20"/>
          <w:lang w:val="es-ES"/>
        </w:rPr>
        <w:t>Suresh</w:t>
      </w:r>
      <w:proofErr w:type="spellEnd"/>
      <w:r w:rsidRPr="00BA6888">
        <w:rPr>
          <w:sz w:val="20"/>
          <w:lang w:val="es-ES"/>
        </w:rPr>
        <w:t xml:space="preserve"> </w:t>
      </w:r>
      <w:proofErr w:type="spellStart"/>
      <w:r w:rsidRPr="00BA6888">
        <w:rPr>
          <w:sz w:val="20"/>
          <w:lang w:val="es-ES"/>
        </w:rPr>
        <w:t>Amichand</w:t>
      </w:r>
      <w:proofErr w:type="spellEnd"/>
      <w:r w:rsidRPr="00BA6888">
        <w:rPr>
          <w:sz w:val="20"/>
          <w:lang w:val="es-ES"/>
        </w:rPr>
        <w:t xml:space="preserve"> (Guyana) [</w:t>
      </w:r>
      <w:r w:rsidRPr="00BA6888">
        <w:rPr>
          <w:i/>
          <w:sz w:val="20"/>
          <w:lang w:val="es-ES"/>
        </w:rPr>
        <w:t>por designar</w:t>
      </w:r>
      <w:r w:rsidRPr="00BA6888">
        <w:rPr>
          <w:sz w:val="20"/>
          <w:lang w:val="es-ES"/>
        </w:rPr>
        <w:t>]</w:t>
      </w:r>
    </w:p>
    <w:p w:rsidR="00BA6888" w:rsidRPr="00BA6888" w:rsidRDefault="00BA6888" w:rsidP="00BA6888">
      <w:pPr>
        <w:keepNext/>
        <w:keepLines/>
        <w:tabs>
          <w:tab w:val="left" w:pos="1247"/>
          <w:tab w:val="left" w:pos="1814"/>
          <w:tab w:val="left" w:pos="2381"/>
          <w:tab w:val="left" w:pos="2948"/>
          <w:tab w:val="left" w:pos="3515"/>
          <w:tab w:val="left" w:pos="4082"/>
        </w:tabs>
        <w:spacing w:before="120" w:after="120"/>
        <w:ind w:left="1247"/>
        <w:rPr>
          <w:b/>
          <w:sz w:val="24"/>
          <w:szCs w:val="24"/>
          <w:lang w:val="fr-FR"/>
        </w:rPr>
      </w:pPr>
      <w:r w:rsidRPr="00BA6888">
        <w:rPr>
          <w:b/>
          <w:sz w:val="24"/>
          <w:szCs w:val="24"/>
          <w:lang w:val="es-ES"/>
        </w:rPr>
        <w:t xml:space="preserve">Estados de Europa Occidental y otros Estados </w:t>
      </w:r>
    </w:p>
    <w:p w:rsidR="00BA6888" w:rsidRPr="00BA6888" w:rsidRDefault="00BA6888" w:rsidP="00BA6888">
      <w:pPr>
        <w:keepNext/>
        <w:keepLines/>
        <w:spacing w:after="120"/>
        <w:ind w:left="1871"/>
        <w:rPr>
          <w:b/>
          <w:iCs/>
          <w:sz w:val="20"/>
          <w:lang w:val="fr-FR"/>
        </w:rPr>
      </w:pPr>
      <w:r w:rsidRPr="00BA6888">
        <w:rPr>
          <w:sz w:val="20"/>
          <w:lang w:val="fr-FR"/>
        </w:rPr>
        <w:t>Sr. </w:t>
      </w:r>
      <w:proofErr w:type="spellStart"/>
      <w:r w:rsidRPr="00BA6888">
        <w:rPr>
          <w:sz w:val="20"/>
          <w:lang w:val="fr-FR"/>
        </w:rPr>
        <w:t>Jeffery</w:t>
      </w:r>
      <w:proofErr w:type="spellEnd"/>
      <w:r w:rsidRPr="00BA6888">
        <w:rPr>
          <w:sz w:val="20"/>
          <w:lang w:val="fr-FR"/>
        </w:rPr>
        <w:t xml:space="preserve"> Goodman (</w:t>
      </w:r>
      <w:proofErr w:type="spellStart"/>
      <w:r w:rsidRPr="00BA6888">
        <w:rPr>
          <w:sz w:val="20"/>
          <w:lang w:val="fr-FR"/>
        </w:rPr>
        <w:t>Canadá</w:t>
      </w:r>
      <w:proofErr w:type="spellEnd"/>
      <w:r w:rsidRPr="00BA6888">
        <w:rPr>
          <w:sz w:val="20"/>
          <w:lang w:val="fr-FR"/>
        </w:rPr>
        <w:t xml:space="preserve">), </w:t>
      </w:r>
      <w:r w:rsidRPr="00BA6888">
        <w:rPr>
          <w:sz w:val="20"/>
          <w:lang w:val="fr-FR"/>
        </w:rPr>
        <w:br/>
        <w:t xml:space="preserve">Sr. Timo </w:t>
      </w:r>
      <w:proofErr w:type="spellStart"/>
      <w:r w:rsidRPr="00BA6888">
        <w:rPr>
          <w:sz w:val="20"/>
          <w:lang w:val="fr-FR"/>
        </w:rPr>
        <w:t>Seppälä</w:t>
      </w:r>
      <w:proofErr w:type="spellEnd"/>
      <w:r w:rsidRPr="00BA6888">
        <w:rPr>
          <w:sz w:val="20"/>
          <w:lang w:val="fr-FR"/>
        </w:rPr>
        <w:t xml:space="preserve"> (</w:t>
      </w:r>
      <w:proofErr w:type="spellStart"/>
      <w:r w:rsidRPr="00BA6888">
        <w:rPr>
          <w:sz w:val="20"/>
          <w:lang w:val="fr-FR"/>
        </w:rPr>
        <w:t>Finlandia</w:t>
      </w:r>
      <w:proofErr w:type="spellEnd"/>
      <w:r w:rsidRPr="00BA6888">
        <w:rPr>
          <w:sz w:val="20"/>
          <w:lang w:val="fr-FR"/>
        </w:rPr>
        <w:t xml:space="preserve">) </w:t>
      </w:r>
      <w:r w:rsidRPr="00BA6888">
        <w:rPr>
          <w:sz w:val="20"/>
          <w:lang w:val="fr-FR"/>
        </w:rPr>
        <w:br/>
        <w:t xml:space="preserve">Sr. Peter </w:t>
      </w:r>
      <w:proofErr w:type="spellStart"/>
      <w:r w:rsidRPr="00BA6888">
        <w:rPr>
          <w:sz w:val="20"/>
          <w:lang w:val="fr-FR"/>
        </w:rPr>
        <w:t>Korytár</w:t>
      </w:r>
      <w:proofErr w:type="spellEnd"/>
      <w:r w:rsidRPr="00BA6888">
        <w:rPr>
          <w:sz w:val="20"/>
          <w:lang w:val="fr-FR"/>
        </w:rPr>
        <w:t xml:space="preserve"> (Malta) </w:t>
      </w:r>
      <w:r w:rsidRPr="00BA6888">
        <w:rPr>
          <w:sz w:val="20"/>
          <w:lang w:val="fr-FR"/>
        </w:rPr>
        <w:br/>
        <w:t>Sr. Peter Alistair Dawson (</w:t>
      </w:r>
      <w:proofErr w:type="spellStart"/>
      <w:r w:rsidRPr="00BA6888">
        <w:rPr>
          <w:sz w:val="20"/>
          <w:lang w:val="fr-FR"/>
        </w:rPr>
        <w:t>Nueva</w:t>
      </w:r>
      <w:proofErr w:type="spellEnd"/>
      <w:r w:rsidRPr="00BA6888">
        <w:rPr>
          <w:sz w:val="20"/>
          <w:lang w:val="fr-FR"/>
        </w:rPr>
        <w:t xml:space="preserve"> </w:t>
      </w:r>
      <w:proofErr w:type="spellStart"/>
      <w:r w:rsidRPr="00BA6888">
        <w:rPr>
          <w:sz w:val="20"/>
          <w:lang w:val="fr-FR"/>
        </w:rPr>
        <w:t>Zelandia</w:t>
      </w:r>
      <w:proofErr w:type="spellEnd"/>
      <w:r w:rsidRPr="00BA6888">
        <w:rPr>
          <w:sz w:val="20"/>
          <w:lang w:val="fr-FR"/>
        </w:rPr>
        <w:t>)</w:t>
      </w:r>
    </w:p>
    <w:p w:rsidR="00C2226D" w:rsidRPr="00BA6888" w:rsidRDefault="00C2226D" w:rsidP="00BA6888"/>
    <w:sectPr w:rsidR="00C2226D" w:rsidRPr="00BA6888" w:rsidSect="00DD1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585" w:rsidRDefault="002C1585" w:rsidP="006860AD">
      <w:r>
        <w:separator/>
      </w:r>
    </w:p>
  </w:endnote>
  <w:endnote w:type="continuationSeparator" w:id="0">
    <w:p w:rsidR="002C1585" w:rsidRDefault="002C1585" w:rsidP="006860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585" w:rsidRDefault="002C1585" w:rsidP="006860AD">
      <w:r>
        <w:separator/>
      </w:r>
    </w:p>
  </w:footnote>
  <w:footnote w:type="continuationSeparator" w:id="0">
    <w:p w:rsidR="002C1585" w:rsidRDefault="002C1585" w:rsidP="006860AD">
      <w:r>
        <w:continuationSeparator/>
      </w:r>
    </w:p>
  </w:footnote>
  <w:footnote w:id="1">
    <w:p w:rsidR="00BA6888" w:rsidRPr="00C40627" w:rsidRDefault="00BA6888" w:rsidP="00BA688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UNEP/FAO/RC/CRC.11/9 y UNEP/FAO/RC/CRC.12/9.</w:t>
      </w:r>
    </w:p>
  </w:footnote>
  <w:footnote w:id="2">
    <w:p w:rsidR="00BA6888" w:rsidRPr="00C40627" w:rsidRDefault="00BA6888" w:rsidP="00BA6888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UNEP/FAO/RC/CRC.12/INF/3/Rev.1.</w:t>
      </w:r>
    </w:p>
  </w:footnote>
  <w:footnote w:id="3">
    <w:p w:rsidR="00BA6888" w:rsidRPr="00C40627" w:rsidRDefault="00BA6888" w:rsidP="00BA6888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Los currículos de estos expertos figuran en el documento UNEP/FAO/RC/COP.8/INF/52.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66A9D"/>
    <w:multiLevelType w:val="multilevel"/>
    <w:tmpl w:val="9DFC749A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</w:num>
  <w:num w:numId="2">
    <w:abstractNumId w:val="0"/>
  </w:num>
  <w:num w:numId="3">
    <w:abstractNumId w:val="0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0AD"/>
    <w:rsid w:val="002C1585"/>
    <w:rsid w:val="006860AD"/>
    <w:rsid w:val="007216B0"/>
    <w:rsid w:val="00BA6888"/>
    <w:rsid w:val="00C2226D"/>
    <w:rsid w:val="00DD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0A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860A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6860AD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6860A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uiPriority w:val="99"/>
    <w:rsid w:val="006860AD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6860AD"/>
    <w:rPr>
      <w:lang w:val="fr-FR"/>
    </w:rPr>
  </w:style>
  <w:style w:type="numbering" w:customStyle="1" w:styleId="Normallist">
    <w:name w:val="Normal_list"/>
    <w:basedOn w:val="NoList"/>
    <w:rsid w:val="006860AD"/>
    <w:pPr>
      <w:numPr>
        <w:numId w:val="2"/>
      </w:numPr>
    </w:pPr>
  </w:style>
  <w:style w:type="paragraph" w:customStyle="1" w:styleId="Normalnumber">
    <w:name w:val="Normal_number"/>
    <w:basedOn w:val="Normal"/>
    <w:link w:val="NormalnumberChar"/>
    <w:rsid w:val="006860AD"/>
    <w:pPr>
      <w:numPr>
        <w:numId w:val="1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rFonts w:asciiTheme="minorHAnsi" w:eastAsiaTheme="minorHAnsi" w:hAnsiTheme="minorHAnsi" w:cstheme="minorBidi"/>
      <w:szCs w:val="22"/>
      <w:lang w:val="fr-FR"/>
    </w:rPr>
  </w:style>
  <w:style w:type="character" w:customStyle="1" w:styleId="Normal-poolChar">
    <w:name w:val="Normal-pool Char"/>
    <w:link w:val="Normal-pool"/>
    <w:rsid w:val="006860AD"/>
    <w:rPr>
      <w:rFonts w:ascii="Times New Roman" w:eastAsia="Times New Roman" w:hAnsi="Times New Roman" w:cs="Times New Roman"/>
      <w:sz w:val="20"/>
      <w:szCs w:val="20"/>
      <w:lang w:val="en-GB"/>
    </w:rPr>
  </w:style>
  <w:style w:type="numbering" w:customStyle="1" w:styleId="Normallist1">
    <w:name w:val="Normal_list1"/>
    <w:basedOn w:val="NoList"/>
    <w:rsid w:val="00BA6888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0A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860A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6860AD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6860A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6860AD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numberChar">
    <w:name w:val="Normal_number Char"/>
    <w:link w:val="Normalnumber"/>
    <w:locked/>
    <w:rsid w:val="006860AD"/>
    <w:rPr>
      <w:lang w:val="fr-FR"/>
    </w:rPr>
  </w:style>
  <w:style w:type="numbering" w:customStyle="1" w:styleId="Normallist">
    <w:name w:val="Normal_list"/>
    <w:basedOn w:val="NoList"/>
    <w:rsid w:val="006860AD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rsid w:val="006860AD"/>
    <w:pPr>
      <w:numPr>
        <w:numId w:val="1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rFonts w:asciiTheme="minorHAnsi" w:eastAsiaTheme="minorHAnsi" w:hAnsiTheme="minorHAnsi" w:cstheme="minorBidi"/>
      <w:szCs w:val="22"/>
      <w:lang w:val="fr-FR"/>
    </w:rPr>
  </w:style>
  <w:style w:type="character" w:customStyle="1" w:styleId="Normal-poolChar">
    <w:name w:val="Normal-pool Char"/>
    <w:link w:val="Normal-pool"/>
    <w:rsid w:val="006860AD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1955</Characters>
  <Application>Microsoft Office Word</Application>
  <DocSecurity>0</DocSecurity>
  <Lines>16</Lines>
  <Paragraphs>4</Paragraphs>
  <ScaleCrop>false</ScaleCrop>
  <Company>UNEP/BRS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achakwera</cp:lastModifiedBy>
  <cp:revision>2</cp:revision>
  <dcterms:created xsi:type="dcterms:W3CDTF">2018-01-29T14:05:00Z</dcterms:created>
  <dcterms:modified xsi:type="dcterms:W3CDTF">2018-02-01T11:10:00Z</dcterms:modified>
</cp:coreProperties>
</file>