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6D3" w:rsidRPr="003C209F" w:rsidRDefault="002E36D3" w:rsidP="002E36D3">
      <w:pPr>
        <w:pStyle w:val="ListParagraph"/>
        <w:spacing w:after="240" w:line="400" w:lineRule="exact"/>
        <w:ind w:left="1134"/>
        <w:contextualSpacing w:val="0"/>
        <w:jc w:val="both"/>
        <w:rPr>
          <w:rFonts w:ascii="Traditional Arabic" w:hAnsi="Traditional Arabic" w:cs="Traditional Arabic"/>
          <w:noProof w:val="0"/>
          <w:sz w:val="32"/>
          <w:szCs w:val="32"/>
          <w:rtl/>
          <w:lang w:val="en-GB" w:eastAsia="zh-TW"/>
        </w:rPr>
      </w:pPr>
      <w:r w:rsidRPr="003C209F">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3C209F">
        <w:rPr>
          <w:rFonts w:ascii="Traditional Arabic" w:hAnsi="Traditional Arabic" w:cs="Traditional Arabic"/>
          <w:b/>
          <w:bCs/>
          <w:noProof w:val="0"/>
          <w:sz w:val="32"/>
          <w:szCs w:val="32"/>
          <w:rtl/>
          <w:lang w:val="en-GB" w:eastAsia="zh-TW"/>
        </w:rPr>
        <w:t xml:space="preserve"> ر-8/10: التعاون والتنسيق على الصعيد الدولي</w:t>
      </w:r>
    </w:p>
    <w:p w:rsidR="002E36D3" w:rsidRPr="003C209F" w:rsidRDefault="002E36D3" w:rsidP="002E36D3">
      <w:pPr>
        <w:pStyle w:val="ListParagraph"/>
        <w:tabs>
          <w:tab w:val="left" w:pos="2409"/>
        </w:tabs>
        <w:spacing w:after="120" w:line="400" w:lineRule="exact"/>
        <w:ind w:left="1133" w:firstLine="709"/>
        <w:contextualSpacing w:val="0"/>
        <w:jc w:val="both"/>
        <w:rPr>
          <w:rFonts w:cs="Traditional Arabic"/>
          <w:noProof w:val="0"/>
          <w:sz w:val="30"/>
          <w:szCs w:val="30"/>
          <w:rtl/>
        </w:rPr>
      </w:pPr>
      <w:r w:rsidRPr="00F039BA">
        <w:rPr>
          <w:rFonts w:cs="Traditional Arabic"/>
          <w:i/>
          <w:iCs/>
          <w:noProof w:val="0"/>
          <w:sz w:val="30"/>
          <w:szCs w:val="30"/>
          <w:rtl/>
        </w:rPr>
        <w:t>إن</w:t>
      </w:r>
      <w:r>
        <w:rPr>
          <w:rFonts w:cs="Traditional Arabic"/>
          <w:i/>
          <w:iCs/>
          <w:noProof w:val="0"/>
          <w:sz w:val="30"/>
          <w:szCs w:val="30"/>
          <w:rtl/>
        </w:rPr>
        <w:t xml:space="preserve"> مؤتمر الأطراف،</w:t>
      </w:r>
    </w:p>
    <w:p w:rsidR="002E36D3"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rPr>
          <w:rFonts w:cs="Traditional Arabic"/>
          <w:sz w:val="30"/>
          <w:szCs w:val="30"/>
          <w:rtl/>
        </w:rPr>
      </w:pPr>
      <w:r w:rsidRPr="003C209F">
        <w:rPr>
          <w:rFonts w:cs="Traditional Arabic"/>
          <w:i/>
          <w:iCs/>
          <w:sz w:val="30"/>
          <w:szCs w:val="30"/>
          <w:rtl/>
        </w:rPr>
        <w:t>يحيط علماً</w:t>
      </w:r>
      <w:r w:rsidRPr="007315F4">
        <w:rPr>
          <w:rFonts w:cs="Traditional Arabic"/>
          <w:sz w:val="30"/>
          <w:szCs w:val="30"/>
          <w:rtl/>
        </w:rPr>
        <w:t xml:space="preserve"> بالتقرير الذي أعدته الأمانة عن التعاون والتنسيق على الصعيد </w:t>
      </w:r>
      <w:r>
        <w:rPr>
          <w:rFonts w:cs="Traditional Arabic"/>
          <w:sz w:val="30"/>
          <w:szCs w:val="30"/>
          <w:rtl/>
        </w:rPr>
        <w:t>الدولي</w:t>
      </w:r>
      <w:r w:rsidRPr="003C209F">
        <w:rPr>
          <w:rFonts w:ascii="Traditional Arabic" w:hAnsi="Traditional Arabic" w:cs="Traditional Arabic"/>
          <w:sz w:val="30"/>
          <w:szCs w:val="30"/>
          <w:vertAlign w:val="superscript"/>
          <w:rtl/>
          <w:lang w:eastAsia="zh-TW"/>
        </w:rPr>
        <w:t>(</w:t>
      </w:r>
      <w:r w:rsidRPr="003C209F">
        <w:rPr>
          <w:rStyle w:val="FootnoteReference"/>
          <w:rFonts w:ascii="Traditional Arabic" w:hAnsi="Traditional Arabic" w:cs="Traditional Arabic"/>
          <w:sz w:val="30"/>
          <w:szCs w:val="30"/>
          <w:rtl/>
          <w:lang w:eastAsia="zh-TW"/>
        </w:rPr>
        <w:footnoteReference w:id="1"/>
      </w:r>
      <w:r w:rsidRPr="003C209F">
        <w:rPr>
          <w:rFonts w:ascii="Traditional Arabic" w:hAnsi="Traditional Arabic" w:cs="Traditional Arabic"/>
          <w:sz w:val="30"/>
          <w:szCs w:val="30"/>
          <w:vertAlign w:val="superscript"/>
          <w:rtl/>
          <w:lang w:eastAsia="zh-TW"/>
        </w:rPr>
        <w:t>)</w:t>
      </w:r>
      <w:r w:rsidRPr="007315F4">
        <w:rPr>
          <w:rFonts w:cs="Traditional Arabic"/>
          <w:sz w:val="30"/>
          <w:szCs w:val="30"/>
          <w:rtl/>
        </w:rPr>
        <w:t xml:space="preserve">؛ وبمذكرة الأمانة عن دمج إدارة المواد الكيميائية والنفايات في </w:t>
      </w:r>
      <w:r w:rsidRPr="00F039BA">
        <w:rPr>
          <w:rFonts w:cs="Traditional Arabic"/>
          <w:szCs w:val="30"/>
          <w:rtl/>
          <w:lang w:eastAsia="zh-TW"/>
        </w:rPr>
        <w:t>خطة</w:t>
      </w:r>
      <w:r w:rsidRPr="007315F4">
        <w:rPr>
          <w:rFonts w:cs="Traditional Arabic"/>
          <w:sz w:val="30"/>
          <w:szCs w:val="30"/>
          <w:rtl/>
        </w:rPr>
        <w:t xml:space="preserve"> التنمية المستدامة لعام ٢٠٣٠، وأهداف التنمية المستدامة</w:t>
      </w:r>
      <w:r w:rsidRPr="003C209F">
        <w:rPr>
          <w:rFonts w:ascii="Traditional Arabic" w:hAnsi="Traditional Arabic" w:cs="Traditional Arabic"/>
          <w:sz w:val="30"/>
          <w:szCs w:val="30"/>
          <w:vertAlign w:val="superscript"/>
          <w:rtl/>
          <w:lang w:eastAsia="zh-TW"/>
        </w:rPr>
        <w:t>(</w:t>
      </w:r>
      <w:r w:rsidRPr="003C209F">
        <w:rPr>
          <w:rStyle w:val="FootnoteReference"/>
          <w:rFonts w:ascii="Traditional Arabic" w:hAnsi="Traditional Arabic" w:cs="Traditional Arabic"/>
          <w:sz w:val="30"/>
          <w:szCs w:val="30"/>
          <w:rtl/>
          <w:lang w:eastAsia="zh-TW"/>
        </w:rPr>
        <w:footnoteReference w:id="2"/>
      </w:r>
      <w:r w:rsidRPr="003C209F">
        <w:rPr>
          <w:rFonts w:ascii="Traditional Arabic" w:hAnsi="Traditional Arabic" w:cs="Traditional Arabic"/>
          <w:sz w:val="30"/>
          <w:szCs w:val="30"/>
          <w:vertAlign w:val="superscript"/>
          <w:rtl/>
          <w:lang w:eastAsia="zh-TW"/>
        </w:rPr>
        <w:t>)</w:t>
      </w:r>
      <w:r w:rsidRPr="007315F4">
        <w:rPr>
          <w:rFonts w:cs="Traditional Arabic"/>
          <w:sz w:val="30"/>
          <w:szCs w:val="30"/>
          <w:rtl/>
        </w:rPr>
        <w:t>؛ وبالمعلومات التي قدمتها أمانة النهج الاستراتيجي للإدارة الدولية للمواد الكيميائية بشأن النهج الاستراتيجي والإدارة السليمة للمواد الكيميائية والنفايات لما بعد عام ٢٠٢٠</w:t>
      </w:r>
      <w:r w:rsidRPr="003C209F">
        <w:rPr>
          <w:rFonts w:ascii="Traditional Arabic" w:hAnsi="Traditional Arabic" w:cs="Traditional Arabic"/>
          <w:sz w:val="30"/>
          <w:szCs w:val="30"/>
          <w:vertAlign w:val="superscript"/>
          <w:rtl/>
          <w:lang w:eastAsia="zh-TW"/>
        </w:rPr>
        <w:t>(</w:t>
      </w:r>
      <w:r w:rsidRPr="003C209F">
        <w:rPr>
          <w:rStyle w:val="FootnoteReference"/>
          <w:rFonts w:ascii="Traditional Arabic" w:hAnsi="Traditional Arabic" w:cs="Traditional Arabic"/>
          <w:sz w:val="30"/>
          <w:szCs w:val="30"/>
          <w:rtl/>
          <w:lang w:eastAsia="zh-TW"/>
        </w:rPr>
        <w:footnoteReference w:id="3"/>
      </w:r>
      <w:r w:rsidRPr="003C209F">
        <w:rPr>
          <w:rFonts w:ascii="Traditional Arabic" w:hAnsi="Traditional Arabic" w:cs="Traditional Arabic"/>
          <w:sz w:val="30"/>
          <w:szCs w:val="30"/>
          <w:vertAlign w:val="superscript"/>
          <w:rtl/>
          <w:lang w:eastAsia="zh-TW"/>
        </w:rPr>
        <w:t>)</w:t>
      </w:r>
      <w:r w:rsidRPr="007315F4">
        <w:rPr>
          <w:rFonts w:cs="Traditional Arabic"/>
          <w:sz w:val="30"/>
          <w:szCs w:val="30"/>
          <w:rtl/>
        </w:rPr>
        <w:t>؛</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cs="Traditional Arabic"/>
          <w:szCs w:val="30"/>
          <w:rtl/>
          <w:lang w:eastAsia="zh-TW"/>
        </w:rPr>
      </w:pPr>
      <w:r w:rsidRPr="003C209F">
        <w:rPr>
          <w:rFonts w:cs="Traditional Arabic"/>
          <w:i/>
          <w:iCs/>
          <w:sz w:val="30"/>
          <w:szCs w:val="30"/>
          <w:rtl/>
        </w:rPr>
        <w:t>يرحب</w:t>
      </w:r>
      <w:r w:rsidRPr="00D86D6F">
        <w:rPr>
          <w:rFonts w:cs="Traditional Arabic"/>
          <w:szCs w:val="30"/>
          <w:rtl/>
          <w:lang w:eastAsia="zh-TW"/>
        </w:rPr>
        <w:t xml:space="preserve"> بخطة التنمية المستدامة لعام ٢٠٣٠، التي تشمل الإدارة السليمة للمواد الكيميائية والنفايات كعنصر حيوي وأساسي وشامل للتنمية المستدامة؛</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eastAsia="Calibri" w:cs="Traditional Arabic"/>
          <w:szCs w:val="30"/>
          <w:rtl/>
          <w:lang w:eastAsia="zh-TW"/>
        </w:rPr>
      </w:pPr>
      <w:r w:rsidRPr="003C209F">
        <w:rPr>
          <w:rFonts w:cs="Traditional Arabic"/>
          <w:i/>
          <w:iCs/>
          <w:sz w:val="30"/>
          <w:szCs w:val="30"/>
          <w:rtl/>
        </w:rPr>
        <w:t>يؤكد</w:t>
      </w:r>
      <w:r w:rsidRPr="00A97F50">
        <w:rPr>
          <w:rFonts w:cs="Traditional Arabic"/>
          <w:szCs w:val="30"/>
          <w:rtl/>
          <w:lang w:eastAsia="zh-TW"/>
        </w:rPr>
        <w:t xml:space="preserve"> على أهمية </w:t>
      </w:r>
      <w:r>
        <w:rPr>
          <w:rFonts w:cs="Traditional Arabic"/>
          <w:szCs w:val="30"/>
          <w:rtl/>
          <w:lang w:eastAsia="zh-TW"/>
        </w:rPr>
        <w:t>المساهمات التي تقدمها</w:t>
      </w:r>
      <w:r w:rsidRPr="00A97F50">
        <w:rPr>
          <w:rFonts w:cs="Traditional Arabic"/>
          <w:szCs w:val="30"/>
          <w:rtl/>
          <w:lang w:eastAsia="zh-TW"/>
        </w:rPr>
        <w:t xml:space="preserve">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w:t>
      </w:r>
      <w:r>
        <w:rPr>
          <w:rFonts w:cs="Traditional Arabic"/>
          <w:szCs w:val="30"/>
          <w:rtl/>
          <w:lang w:eastAsia="zh-TW"/>
        </w:rPr>
        <w:t>ا</w:t>
      </w:r>
      <w:r w:rsidRPr="00A97F50">
        <w:rPr>
          <w:rFonts w:cs="Traditional Arabic"/>
          <w:szCs w:val="30"/>
          <w:rtl/>
          <w:lang w:eastAsia="zh-TW"/>
        </w:rPr>
        <w:t xml:space="preserve">ستكهولم </w:t>
      </w:r>
      <w:r>
        <w:rPr>
          <w:rFonts w:cs="Traditional Arabic"/>
          <w:szCs w:val="30"/>
          <w:rtl/>
          <w:lang w:eastAsia="zh-TW"/>
        </w:rPr>
        <w:t xml:space="preserve">بشأن </w:t>
      </w:r>
      <w:r w:rsidRPr="00A97F50">
        <w:rPr>
          <w:rFonts w:cs="Traditional Arabic"/>
          <w:szCs w:val="30"/>
          <w:rtl/>
          <w:lang w:eastAsia="zh-TW"/>
        </w:rPr>
        <w:t>الملوثات العضوية الثابتة، في مساعدة الأطراف في تلك الاتفاقيات على تنفيذ خطة التنمية المستدامة لعام</w:t>
      </w:r>
      <w:r>
        <w:rPr>
          <w:rFonts w:cs="Traditional Arabic"/>
          <w:szCs w:val="30"/>
          <w:rtl/>
          <w:lang w:eastAsia="zh-TW"/>
        </w:rPr>
        <w:t xml:space="preserve"> 2030 </w:t>
      </w:r>
      <w:r w:rsidRPr="00A97F50">
        <w:rPr>
          <w:rFonts w:cs="Traditional Arabic"/>
          <w:szCs w:val="30"/>
          <w:rtl/>
          <w:lang w:eastAsia="zh-TW"/>
        </w:rPr>
        <w:t>و</w:t>
      </w:r>
      <w:r>
        <w:rPr>
          <w:rFonts w:cs="Traditional Arabic"/>
          <w:szCs w:val="30"/>
          <w:rtl/>
          <w:lang w:eastAsia="zh-TW"/>
        </w:rPr>
        <w:t xml:space="preserve">تحقيق </w:t>
      </w:r>
      <w:r w:rsidRPr="00A97F50">
        <w:rPr>
          <w:rFonts w:cs="Traditional Arabic"/>
          <w:szCs w:val="30"/>
          <w:rtl/>
          <w:lang w:eastAsia="zh-TW"/>
        </w:rPr>
        <w:t xml:space="preserve">أهداف التنمية المستدامة </w:t>
      </w:r>
      <w:r>
        <w:rPr>
          <w:rFonts w:cs="Traditional Arabic"/>
          <w:szCs w:val="30"/>
          <w:rtl/>
          <w:lang w:eastAsia="zh-TW"/>
        </w:rPr>
        <w:t>ذات الصلة والغايات المرتبطة بها؛</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eastAsia="Calibri" w:cs="Traditional Arabic"/>
          <w:szCs w:val="30"/>
          <w:rtl/>
          <w:lang w:eastAsia="zh-TW"/>
        </w:rPr>
      </w:pPr>
      <w:r w:rsidRPr="00477A4E">
        <w:rPr>
          <w:rFonts w:cs="Traditional Arabic"/>
          <w:i/>
          <w:iCs/>
          <w:szCs w:val="30"/>
          <w:rtl/>
          <w:lang w:eastAsia="zh-TW"/>
        </w:rPr>
        <w:t>يحيط علماً</w:t>
      </w:r>
      <w:r w:rsidRPr="00A97F50">
        <w:rPr>
          <w:rFonts w:cs="Traditional Arabic"/>
          <w:szCs w:val="30"/>
          <w:rtl/>
          <w:lang w:eastAsia="zh-TW"/>
        </w:rPr>
        <w:t xml:space="preserve"> بمنهجية جمع البيانات ذات الصلة </w:t>
      </w:r>
      <w:r>
        <w:rPr>
          <w:rFonts w:cs="Traditional Arabic"/>
          <w:szCs w:val="30"/>
          <w:rtl/>
          <w:lang w:eastAsia="zh-TW"/>
        </w:rPr>
        <w:t xml:space="preserve">بمؤشرات </w:t>
      </w:r>
      <w:r w:rsidRPr="00A97F50">
        <w:rPr>
          <w:rFonts w:cs="Traditional Arabic"/>
          <w:szCs w:val="30"/>
          <w:rtl/>
          <w:lang w:eastAsia="zh-TW"/>
        </w:rPr>
        <w:t>أهداف التنمية المستدامة، ويطلب إلى الأمانة أن تواصل التعاون مع برنامج الأمم المتحدة للبيئة وأمانات الاتفاقات البيئية المتعددة الأطراف الأخرى ذات الصلة بالمواد الكيميائية والنفايات لضمان ات</w:t>
      </w:r>
      <w:r>
        <w:rPr>
          <w:rFonts w:cs="Traditional Arabic"/>
          <w:szCs w:val="30"/>
          <w:rtl/>
          <w:lang w:eastAsia="zh-TW"/>
        </w:rPr>
        <w:t>باع نهج منسق في تنفيذ المنهجية؛</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eastAsia="Calibri" w:cs="Traditional Arabic"/>
          <w:szCs w:val="30"/>
          <w:rtl/>
          <w:lang w:eastAsia="zh-TW"/>
        </w:rPr>
      </w:pPr>
      <w:r w:rsidRPr="007C3248">
        <w:rPr>
          <w:rFonts w:cs="Traditional Arabic"/>
          <w:i/>
          <w:iCs/>
          <w:szCs w:val="30"/>
          <w:rtl/>
          <w:lang w:eastAsia="zh-TW"/>
        </w:rPr>
        <w:t>يطلب</w:t>
      </w:r>
      <w:r w:rsidRPr="00A97F50">
        <w:rPr>
          <w:rFonts w:cs="Traditional Arabic"/>
          <w:szCs w:val="30"/>
          <w:rtl/>
          <w:lang w:eastAsia="zh-TW"/>
        </w:rPr>
        <w:t xml:space="preserve"> إلى الأمانة أن تتيح لبرنامج الأمم المتحدة للبيئة ما تقدمه إليها الأطراف من معلومات ذات صلة </w:t>
      </w:r>
      <w:r>
        <w:rPr>
          <w:rFonts w:cs="Traditional Arabic"/>
          <w:szCs w:val="30"/>
          <w:rtl/>
          <w:lang w:eastAsia="zh-TW"/>
        </w:rPr>
        <w:t>بتنفيذ</w:t>
      </w:r>
      <w:r w:rsidRPr="00A97F50">
        <w:rPr>
          <w:rFonts w:cs="Traditional Arabic"/>
          <w:szCs w:val="30"/>
          <w:rtl/>
          <w:lang w:eastAsia="zh-TW"/>
        </w:rPr>
        <w:t xml:space="preserve"> </w:t>
      </w:r>
      <w:r>
        <w:rPr>
          <w:rFonts w:cs="Traditional Arabic"/>
          <w:szCs w:val="30"/>
          <w:rtl/>
          <w:lang w:eastAsia="zh-TW"/>
        </w:rPr>
        <w:t>خطة التنمية المستدامة لع</w:t>
      </w:r>
      <w:r w:rsidRPr="00A97F50">
        <w:rPr>
          <w:rFonts w:cs="Traditional Arabic"/>
          <w:szCs w:val="30"/>
          <w:rtl/>
          <w:lang w:eastAsia="zh-TW"/>
        </w:rPr>
        <w:t>ا</w:t>
      </w:r>
      <w:r>
        <w:rPr>
          <w:rFonts w:cs="Traditional Arabic"/>
          <w:szCs w:val="30"/>
          <w:rtl/>
          <w:lang w:eastAsia="zh-TW"/>
        </w:rPr>
        <w:t>م 2030، وذلك كمساهمة في الاستعراض والمتابعة الشاملين من جانب ا</w:t>
      </w:r>
      <w:r w:rsidRPr="00751351">
        <w:rPr>
          <w:rFonts w:cs="Traditional Arabic"/>
          <w:szCs w:val="30"/>
          <w:rtl/>
          <w:lang w:eastAsia="zh-TW"/>
        </w:rPr>
        <w:t>لمنتدى السياسي الرفيع المستوى المعني بالتنمية المستدامة</w:t>
      </w:r>
      <w:r>
        <w:rPr>
          <w:rFonts w:cs="Traditional Arabic"/>
          <w:szCs w:val="30"/>
          <w:rtl/>
          <w:lang w:eastAsia="zh-TW"/>
        </w:rPr>
        <w:t>؛</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4" w:firstLine="709"/>
        <w:jc w:val="both"/>
        <w:textDirection w:val="tbRlV"/>
        <w:rPr>
          <w:rFonts w:cs="Traditional Arabic"/>
          <w:color w:val="000000"/>
          <w:szCs w:val="30"/>
          <w:rtl/>
          <w:lang w:eastAsia="zh-TW"/>
        </w:rPr>
      </w:pPr>
      <w:r w:rsidRPr="007C3248">
        <w:rPr>
          <w:rFonts w:cs="Traditional Arabic"/>
          <w:i/>
          <w:iCs/>
          <w:szCs w:val="30"/>
          <w:rtl/>
          <w:lang w:eastAsia="zh-TW"/>
        </w:rPr>
        <w:t>يطلب أيضاً</w:t>
      </w:r>
      <w:r w:rsidRPr="00A97F50">
        <w:rPr>
          <w:rFonts w:cs="Traditional Arabic"/>
          <w:szCs w:val="30"/>
          <w:rtl/>
          <w:lang w:eastAsia="zh-TW"/>
        </w:rPr>
        <w:t xml:space="preserve"> إلى الأمانة أن تواصل التعاون مع برنامج الأمم المتحدة للبيئة، وشعبة الإحصاءات في الأمم المتحدة، والمنظمات الأخرى ذات الصلة من أجل وضع منهجيات </w:t>
      </w:r>
      <w:r>
        <w:rPr>
          <w:rFonts w:cs="Traditional Arabic"/>
          <w:szCs w:val="30"/>
          <w:rtl/>
          <w:lang w:eastAsia="zh-TW"/>
        </w:rPr>
        <w:t>ل</w:t>
      </w:r>
      <w:r w:rsidRPr="00A97F50">
        <w:rPr>
          <w:rFonts w:cs="Traditional Arabic"/>
          <w:szCs w:val="30"/>
          <w:rtl/>
          <w:lang w:eastAsia="zh-TW"/>
        </w:rPr>
        <w:t>لمؤشرات ذات الصلة</w:t>
      </w:r>
      <w:r>
        <w:rPr>
          <w:rFonts w:cs="Traditional Arabic"/>
          <w:szCs w:val="30"/>
          <w:rtl/>
          <w:lang w:eastAsia="zh-TW"/>
        </w:rPr>
        <w:t xml:space="preserve"> باتفاقيات بازل وروتردام واستكهولم</w:t>
      </w:r>
      <w:r w:rsidRPr="003C209F">
        <w:rPr>
          <w:rFonts w:ascii="Traditional Arabic" w:hAnsi="Traditional Arabic" w:cs="Traditional Arabic"/>
          <w:sz w:val="30"/>
          <w:szCs w:val="30"/>
          <w:vertAlign w:val="superscript"/>
          <w:rtl/>
          <w:lang w:eastAsia="zh-TW"/>
        </w:rPr>
        <w:t>(</w:t>
      </w:r>
      <w:r w:rsidRPr="003C209F">
        <w:rPr>
          <w:rStyle w:val="FootnoteReference"/>
          <w:rFonts w:ascii="Traditional Arabic" w:hAnsi="Traditional Arabic" w:cs="Traditional Arabic"/>
          <w:sz w:val="30"/>
          <w:szCs w:val="30"/>
          <w:rtl/>
          <w:lang w:eastAsia="zh-TW"/>
        </w:rPr>
        <w:footnoteReference w:id="4"/>
      </w:r>
      <w:r w:rsidRPr="003C209F">
        <w:rPr>
          <w:rFonts w:ascii="Traditional Arabic" w:hAnsi="Traditional Arabic" w:cs="Traditional Arabic"/>
          <w:sz w:val="30"/>
          <w:szCs w:val="30"/>
          <w:vertAlign w:val="superscript"/>
          <w:rtl/>
          <w:lang w:eastAsia="zh-TW"/>
        </w:rPr>
        <w:t>)</w:t>
      </w:r>
      <w:r w:rsidRPr="00F039BA">
        <w:rPr>
          <w:rFonts w:cs="Traditional Arabic"/>
          <w:szCs w:val="30"/>
          <w:rtl/>
          <w:lang w:eastAsia="zh-TW"/>
        </w:rPr>
        <w:t>؛</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eastAsia="Calibri" w:cs="Traditional Arabic"/>
          <w:szCs w:val="30"/>
          <w:rtl/>
          <w:lang w:eastAsia="zh-TW"/>
        </w:rPr>
      </w:pPr>
      <w:r w:rsidRPr="007C3248">
        <w:rPr>
          <w:rFonts w:cs="Traditional Arabic"/>
          <w:i/>
          <w:iCs/>
          <w:szCs w:val="30"/>
          <w:rtl/>
          <w:lang w:eastAsia="zh-TW"/>
        </w:rPr>
        <w:t>يطلب كذلك</w:t>
      </w:r>
      <w:r w:rsidRPr="00A97F50">
        <w:rPr>
          <w:rFonts w:cs="Traditional Arabic"/>
          <w:szCs w:val="30"/>
          <w:rtl/>
          <w:lang w:eastAsia="zh-TW"/>
        </w:rPr>
        <w:t xml:space="preserve"> إلى الأمانة، رهنا</w:t>
      </w:r>
      <w:r>
        <w:rPr>
          <w:rFonts w:cs="Traditional Arabic"/>
          <w:szCs w:val="30"/>
          <w:rtl/>
          <w:lang w:eastAsia="zh-TW"/>
        </w:rPr>
        <w:t>ً</w:t>
      </w:r>
      <w:r w:rsidRPr="00A97F50">
        <w:rPr>
          <w:rFonts w:cs="Traditional Arabic"/>
          <w:szCs w:val="30"/>
          <w:rtl/>
          <w:lang w:eastAsia="zh-TW"/>
        </w:rPr>
        <w:t xml:space="preserve"> بتوافر الموارد، أن تساعد الأطراف</w:t>
      </w:r>
      <w:r>
        <w:rPr>
          <w:rFonts w:cs="Traditional Arabic"/>
          <w:szCs w:val="30"/>
          <w:rtl/>
          <w:lang w:eastAsia="zh-TW"/>
        </w:rPr>
        <w:t xml:space="preserve"> عند طلبها</w:t>
      </w:r>
      <w:r w:rsidRPr="00A97F50">
        <w:rPr>
          <w:rFonts w:cs="Traditional Arabic"/>
          <w:szCs w:val="30"/>
          <w:rtl/>
          <w:lang w:eastAsia="zh-TW"/>
        </w:rPr>
        <w:t xml:space="preserve"> في جهودها الرامية إلى دمج </w:t>
      </w:r>
      <w:r>
        <w:rPr>
          <w:rFonts w:cs="Traditional Arabic"/>
          <w:szCs w:val="30"/>
          <w:rtl/>
          <w:lang w:eastAsia="zh-TW"/>
        </w:rPr>
        <w:t>العناصر ذات الصلة من</w:t>
      </w:r>
      <w:r w:rsidRPr="00A97F50">
        <w:rPr>
          <w:rFonts w:cs="Traditional Arabic"/>
          <w:szCs w:val="30"/>
          <w:rtl/>
          <w:lang w:eastAsia="zh-TW"/>
        </w:rPr>
        <w:t xml:space="preserve"> الاتفاقيات في خططها واستراتيجياتها الوطنية للتنمية المستدامة، </w:t>
      </w:r>
      <w:r>
        <w:rPr>
          <w:rFonts w:cs="Traditional Arabic"/>
          <w:szCs w:val="30"/>
          <w:rtl/>
          <w:lang w:eastAsia="zh-TW"/>
        </w:rPr>
        <w:t>وفي تشريعاتها عندما يكون ذلك مناسباً؛</w:t>
      </w:r>
    </w:p>
    <w:p w:rsidR="002E36D3" w:rsidRPr="00751351"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cs="Traditional Arabic"/>
          <w:color w:val="000000"/>
          <w:szCs w:val="30"/>
          <w:lang w:eastAsia="zh-TW"/>
        </w:rPr>
      </w:pPr>
      <w:r w:rsidRPr="003C209F">
        <w:rPr>
          <w:rFonts w:cs="Traditional Arabic"/>
          <w:i/>
          <w:iCs/>
          <w:sz w:val="30"/>
          <w:szCs w:val="30"/>
          <w:rtl/>
        </w:rPr>
        <w:lastRenderedPageBreak/>
        <w:t>يرحب</w:t>
      </w:r>
      <w:r w:rsidRPr="00A97F50">
        <w:rPr>
          <w:rFonts w:cs="Traditional Arabic"/>
          <w:szCs w:val="30"/>
          <w:rtl/>
          <w:lang w:eastAsia="zh-TW"/>
        </w:rPr>
        <w:t xml:space="preserve"> باتخاذ جمعية الأمم المتحدة للبيئة </w:t>
      </w:r>
      <w:r>
        <w:rPr>
          <w:rFonts w:cs="Traditional Arabic"/>
          <w:szCs w:val="30"/>
          <w:rtl/>
          <w:lang w:eastAsia="zh-TW"/>
        </w:rPr>
        <w:t>ا</w:t>
      </w:r>
      <w:r w:rsidRPr="00A97F50">
        <w:rPr>
          <w:rFonts w:cs="Traditional Arabic"/>
          <w:szCs w:val="30"/>
          <w:rtl/>
          <w:lang w:eastAsia="zh-TW"/>
        </w:rPr>
        <w:t xml:space="preserve">لقرارات </w:t>
      </w:r>
      <w:r>
        <w:rPr>
          <w:rFonts w:cs="Traditional Arabic"/>
          <w:szCs w:val="30"/>
          <w:rtl/>
          <w:lang w:eastAsia="zh-TW"/>
        </w:rPr>
        <w:t>ذات الصلة في</w:t>
      </w:r>
      <w:r w:rsidRPr="00A97F50">
        <w:rPr>
          <w:rFonts w:cs="Traditional Arabic"/>
          <w:szCs w:val="30"/>
          <w:rtl/>
          <w:lang w:eastAsia="zh-TW"/>
        </w:rPr>
        <w:t xml:space="preserve"> دورتها الثانية، ويدعو المدير التنفيذي لبرنامج الأمم المتحدة للبيئة إلى أن يأخذ في الاعتبار أعمال الاتفاقيات في تنفيذ تلك القرارات، ويطلب </w:t>
      </w:r>
      <w:r>
        <w:rPr>
          <w:rFonts w:cs="Traditional Arabic"/>
          <w:szCs w:val="30"/>
          <w:rtl/>
          <w:lang w:eastAsia="zh-TW"/>
        </w:rPr>
        <w:t>إلى الأمين التنفيذي لاتفاقيات</w:t>
      </w:r>
      <w:r w:rsidRPr="00A97F50">
        <w:rPr>
          <w:rFonts w:cs="Traditional Arabic"/>
          <w:szCs w:val="30"/>
          <w:rtl/>
          <w:lang w:eastAsia="zh-TW"/>
        </w:rPr>
        <w:t xml:space="preserve"> بازل وروتردام واستكهولم أن يتعاون مع المدير التنفيذي </w:t>
      </w:r>
      <w:r>
        <w:rPr>
          <w:rFonts w:cs="Traditional Arabic"/>
          <w:szCs w:val="30"/>
          <w:rtl/>
          <w:lang w:eastAsia="zh-TW"/>
        </w:rPr>
        <w:t xml:space="preserve">لبرنامج الأمم المتحدة للبيئة </w:t>
      </w:r>
      <w:r w:rsidRPr="00A97F50">
        <w:rPr>
          <w:rFonts w:cs="Traditional Arabic"/>
          <w:szCs w:val="30"/>
          <w:rtl/>
          <w:lang w:eastAsia="zh-TW"/>
        </w:rPr>
        <w:t>في تنفيذ تلك القرارات؛</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cs="Traditional Arabic"/>
          <w:color w:val="000000"/>
          <w:szCs w:val="30"/>
          <w:rtl/>
          <w:lang w:eastAsia="zh-TW"/>
        </w:rPr>
      </w:pPr>
      <w:r w:rsidRPr="00CF3B89">
        <w:rPr>
          <w:rFonts w:cs="Traditional Arabic"/>
          <w:i/>
          <w:iCs/>
          <w:szCs w:val="30"/>
          <w:rtl/>
          <w:lang w:eastAsia="zh-TW"/>
        </w:rPr>
        <w:t>يرحب</w:t>
      </w:r>
      <w:r w:rsidRPr="00CF3B89">
        <w:rPr>
          <w:rFonts w:cs="Traditional Arabic"/>
          <w:szCs w:val="30"/>
          <w:rtl/>
          <w:lang w:eastAsia="zh-TW"/>
        </w:rPr>
        <w:t xml:space="preserve"> بالقرارات </w:t>
      </w:r>
      <w:r>
        <w:rPr>
          <w:rFonts w:cs="Traditional Arabic"/>
          <w:szCs w:val="30"/>
          <w:rtl/>
          <w:lang w:eastAsia="zh-TW"/>
        </w:rPr>
        <w:t xml:space="preserve">المتخذة </w:t>
      </w:r>
      <w:r w:rsidRPr="00CF3B89">
        <w:rPr>
          <w:rFonts w:cs="Traditional Arabic"/>
          <w:szCs w:val="30"/>
          <w:rtl/>
          <w:lang w:eastAsia="zh-TW"/>
        </w:rPr>
        <w:t>في الدورة الرابعة للمؤتمر الدولي المعني بإدارة المواد الكيميائية، بما في ذلك وبوجه خاص اعتماد التوجه العام والتوجيهات الرامية إلى تحقيق هدف ٢٠٢٠، وقرار بدء عملية ما بين الدورات بشأن الإدارة السليمة للمواد الكيميائية والنفايات لما بعد عام ٢٠٢٠، ويطلب إلى الأمانة أن تواصل التعاون مع أمانة النهج الاستراتيجي في هذا الصدد وأن تشارك في تقديم المساهمات المناسبة إلى النهج الاستراتيجي لعملية ما بين الدورات بشأن الإدارة السليمة للمواد الكيميائية والنفايات لما بعد عام ٢٠٢٠؛</w:t>
      </w:r>
      <w:r w:rsidRPr="00A97F50">
        <w:rPr>
          <w:rFonts w:cs="Traditional Arabic"/>
          <w:szCs w:val="30"/>
          <w:rtl/>
          <w:lang w:eastAsia="zh-TW"/>
        </w:rPr>
        <w:t xml:space="preserve"> </w:t>
      </w:r>
    </w:p>
    <w:p w:rsidR="002E36D3"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4" w:firstLine="709"/>
        <w:jc w:val="both"/>
        <w:textDirection w:val="tbRlV"/>
        <w:rPr>
          <w:rFonts w:cs="Traditional Arabic"/>
          <w:szCs w:val="30"/>
          <w:lang w:eastAsia="zh-TW"/>
        </w:rPr>
      </w:pPr>
      <w:r w:rsidRPr="007C3248">
        <w:rPr>
          <w:rFonts w:cs="Traditional Arabic"/>
          <w:i/>
          <w:iCs/>
          <w:szCs w:val="30"/>
          <w:rtl/>
          <w:lang w:eastAsia="zh-TW"/>
        </w:rPr>
        <w:t>يطلب</w:t>
      </w:r>
      <w:r w:rsidRPr="00A97F50">
        <w:rPr>
          <w:rFonts w:cs="Traditional Arabic"/>
          <w:szCs w:val="30"/>
          <w:rtl/>
          <w:lang w:eastAsia="zh-TW"/>
        </w:rPr>
        <w:t xml:space="preserve"> إلى الأمانة أن تواصل تعزيز التعاون والتنسيق مع الأمانة المؤقتة لاتفاقية ميناماتا بشأن الزئبق، و</w:t>
      </w:r>
      <w:r>
        <w:rPr>
          <w:rFonts w:cs="Traditional Arabic"/>
          <w:szCs w:val="30"/>
          <w:rtl/>
          <w:lang w:eastAsia="zh-TW"/>
        </w:rPr>
        <w:t xml:space="preserve">مع </w:t>
      </w:r>
      <w:r w:rsidRPr="00A97F50">
        <w:rPr>
          <w:rFonts w:cs="Traditional Arabic"/>
          <w:szCs w:val="30"/>
          <w:rtl/>
          <w:lang w:eastAsia="zh-TW"/>
        </w:rPr>
        <w:t xml:space="preserve">أمانة النهج الاستراتيجي في المجالات ذات الصلة باتفاقيات بازل وروتردام واستكهولم، </w:t>
      </w:r>
      <w:r>
        <w:rPr>
          <w:rFonts w:cs="Traditional Arabic"/>
          <w:szCs w:val="30"/>
          <w:rtl/>
          <w:lang w:eastAsia="zh-TW"/>
        </w:rPr>
        <w:t>وكذلك مع</w:t>
      </w:r>
      <w:r w:rsidRPr="00A97F50">
        <w:rPr>
          <w:rFonts w:cs="Traditional Arabic"/>
          <w:szCs w:val="30"/>
          <w:rtl/>
          <w:lang w:eastAsia="zh-TW"/>
        </w:rPr>
        <w:t xml:space="preserve"> المنظمات</w:t>
      </w:r>
      <w:r>
        <w:rPr>
          <w:rFonts w:cs="Traditional Arabic"/>
          <w:szCs w:val="30"/>
          <w:rtl/>
          <w:lang w:eastAsia="zh-TW"/>
        </w:rPr>
        <w:t xml:space="preserve"> والأنشطة الدولية</w:t>
      </w:r>
      <w:r w:rsidRPr="00A97F50">
        <w:rPr>
          <w:rFonts w:cs="Traditional Arabic"/>
          <w:szCs w:val="30"/>
          <w:rtl/>
          <w:lang w:eastAsia="zh-TW"/>
        </w:rPr>
        <w:t xml:space="preserve"> المدرجة في تقرير الأمانة عن التعاون والتنسيق على الصعيد الدول</w:t>
      </w:r>
      <w:r>
        <w:rPr>
          <w:rFonts w:cs="Traditional Arabic"/>
          <w:szCs w:val="30"/>
          <w:rtl/>
          <w:lang w:eastAsia="zh-TW"/>
        </w:rPr>
        <w:t>ي</w:t>
      </w:r>
      <w:r w:rsidRPr="003C209F">
        <w:rPr>
          <w:rFonts w:ascii="Traditional Arabic" w:hAnsi="Traditional Arabic" w:cs="Traditional Arabic"/>
          <w:sz w:val="30"/>
          <w:szCs w:val="30"/>
          <w:vertAlign w:val="superscript"/>
          <w:rtl/>
          <w:lang w:eastAsia="zh-TW"/>
        </w:rPr>
        <w:t>(</w:t>
      </w:r>
      <w:r w:rsidRPr="003C209F">
        <w:rPr>
          <w:rStyle w:val="FootnoteReference"/>
          <w:rFonts w:ascii="Traditional Arabic" w:hAnsi="Traditional Arabic" w:cs="Traditional Arabic"/>
          <w:sz w:val="30"/>
          <w:szCs w:val="30"/>
          <w:rtl/>
          <w:lang w:eastAsia="zh-TW"/>
        </w:rPr>
        <w:footnoteReference w:id="5"/>
      </w:r>
      <w:r w:rsidRPr="003C209F">
        <w:rPr>
          <w:rFonts w:ascii="Traditional Arabic" w:hAnsi="Traditional Arabic" w:cs="Traditional Arabic"/>
          <w:sz w:val="30"/>
          <w:szCs w:val="30"/>
          <w:vertAlign w:val="superscript"/>
          <w:rtl/>
          <w:lang w:eastAsia="zh-TW"/>
        </w:rPr>
        <w:t>)</w:t>
      </w:r>
      <w:r>
        <w:rPr>
          <w:rFonts w:cs="Traditional Arabic"/>
          <w:szCs w:val="30"/>
          <w:rtl/>
          <w:lang w:eastAsia="zh-TW"/>
        </w:rPr>
        <w:t>؛</w:t>
      </w:r>
    </w:p>
    <w:p w:rsidR="002E36D3" w:rsidRPr="00A97F50" w:rsidRDefault="002E36D3" w:rsidP="002E36D3">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3" w:firstLine="709"/>
        <w:jc w:val="both"/>
        <w:textDirection w:val="tbRlV"/>
        <w:rPr>
          <w:rFonts w:cs="Traditional Arabic"/>
          <w:szCs w:val="30"/>
          <w:rtl/>
          <w:lang w:eastAsia="zh-TW"/>
        </w:rPr>
      </w:pPr>
      <w:r w:rsidRPr="00CF3B89">
        <w:rPr>
          <w:rFonts w:cs="Traditional Arabic"/>
          <w:i/>
          <w:iCs/>
          <w:szCs w:val="30"/>
          <w:rtl/>
          <w:lang w:eastAsia="zh-TW"/>
        </w:rPr>
        <w:t>يطلب</w:t>
      </w:r>
      <w:r w:rsidRPr="00CF3B89">
        <w:rPr>
          <w:rFonts w:cs="Traditional Arabic"/>
          <w:szCs w:val="30"/>
          <w:rtl/>
          <w:lang w:eastAsia="zh-TW"/>
        </w:rPr>
        <w:t xml:space="preserve"> </w:t>
      </w:r>
      <w:r w:rsidRPr="002956B7">
        <w:rPr>
          <w:rFonts w:cs="Traditional Arabic"/>
          <w:i/>
          <w:iCs/>
          <w:szCs w:val="30"/>
          <w:rtl/>
          <w:lang w:eastAsia="zh-TW"/>
        </w:rPr>
        <w:t>كذلك</w:t>
      </w:r>
      <w:r w:rsidRPr="00CF3B89">
        <w:rPr>
          <w:rFonts w:cs="Traditional Arabic"/>
          <w:szCs w:val="30"/>
          <w:rtl/>
          <w:lang w:eastAsia="zh-TW"/>
        </w:rPr>
        <w:t xml:space="preserve"> إلى الأمانة أن تقدم تقريراً عن تنفيذ هذا المقرر إلى مؤتمر الأطراف في اجتماعه</w:t>
      </w:r>
      <w:r>
        <w:rPr>
          <w:rFonts w:cs="Traditional Arabic"/>
          <w:szCs w:val="30"/>
          <w:rtl/>
          <w:lang w:eastAsia="zh-TW"/>
        </w:rPr>
        <w:t xml:space="preserve"> المقبل.</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8BE" w:rsidRDefault="000F08BE" w:rsidP="002E36D3">
      <w:pPr>
        <w:spacing w:after="0" w:line="240" w:lineRule="auto"/>
      </w:pPr>
      <w:r>
        <w:separator/>
      </w:r>
    </w:p>
  </w:endnote>
  <w:endnote w:type="continuationSeparator" w:id="0">
    <w:p w:rsidR="000F08BE" w:rsidRDefault="000F08BE" w:rsidP="002E36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8BE" w:rsidRDefault="000F08BE" w:rsidP="002E36D3">
      <w:pPr>
        <w:spacing w:after="0" w:line="240" w:lineRule="auto"/>
      </w:pPr>
      <w:r>
        <w:separator/>
      </w:r>
    </w:p>
  </w:footnote>
  <w:footnote w:type="continuationSeparator" w:id="0">
    <w:p w:rsidR="000F08BE" w:rsidRDefault="000F08BE" w:rsidP="002E36D3">
      <w:pPr>
        <w:spacing w:after="0" w:line="240" w:lineRule="auto"/>
      </w:pPr>
      <w:r>
        <w:continuationSeparator/>
      </w:r>
    </w:p>
  </w:footnote>
  <w:footnote w:id="1">
    <w:p w:rsidR="002E36D3" w:rsidRPr="002E36D3" w:rsidRDefault="002E36D3" w:rsidP="002E36D3">
      <w:pPr>
        <w:pStyle w:val="FootnoteText"/>
        <w:spacing w:after="60" w:line="300" w:lineRule="exact"/>
        <w:ind w:left="1134"/>
        <w:jc w:val="both"/>
        <w:textDirection w:val="tbRlV"/>
        <w:rPr>
          <w:rFonts w:ascii="Times New Roman" w:hAnsi="Times New Roman" w:cs="Traditional Arabic"/>
          <w:color w:val="000000" w:themeColor="text1"/>
          <w:sz w:val="18"/>
          <w:szCs w:val="26"/>
          <w:rtl/>
          <w:lang w:val="en-GB" w:eastAsia="zh-TW"/>
        </w:rPr>
      </w:pPr>
      <w:r w:rsidRPr="00961091">
        <w:rPr>
          <w:rFonts w:ascii="Times New Roman" w:hAnsi="Times New Roman" w:cs="Traditional Arabic"/>
          <w:color w:val="000000" w:themeColor="text1"/>
          <w:sz w:val="18"/>
          <w:szCs w:val="26"/>
          <w:rtl/>
        </w:rPr>
        <w:t>(</w:t>
      </w:r>
      <w:r w:rsidRPr="00961091">
        <w:rPr>
          <w:rStyle w:val="FootnoteReference"/>
          <w:rFonts w:cs="Traditional Arabic"/>
          <w:color w:val="000000" w:themeColor="text1"/>
          <w:sz w:val="18"/>
          <w:szCs w:val="26"/>
          <w:rtl/>
        </w:rPr>
        <w:footnoteRef/>
      </w:r>
      <w:r w:rsidRPr="00961091">
        <w:rPr>
          <w:rFonts w:ascii="Times New Roman" w:hAnsi="Times New Roman" w:cs="Traditional Arabic"/>
          <w:color w:val="000000" w:themeColor="text1"/>
          <w:sz w:val="18"/>
          <w:szCs w:val="26"/>
          <w:rtl/>
        </w:rPr>
        <w:t>)</w:t>
      </w:r>
      <w:r w:rsidRPr="00961091">
        <w:rPr>
          <w:rFonts w:ascii="Times New Roman" w:hAnsi="Times New Roman" w:cs="Traditional Arabic" w:hint="cs"/>
          <w:color w:val="000000" w:themeColor="text1"/>
          <w:sz w:val="18"/>
          <w:szCs w:val="26"/>
          <w:rtl/>
        </w:rPr>
        <w:t xml:space="preserve">  </w:t>
      </w:r>
      <w:r w:rsidRPr="002E36D3">
        <w:rPr>
          <w:rStyle w:val="DeltaViewInsertion"/>
          <w:rFonts w:ascii="Times New Roman" w:hAnsi="Times New Roman" w:cs="Traditional Arabic"/>
          <w:color w:val="000000" w:themeColor="text1"/>
          <w:sz w:val="18"/>
          <w:szCs w:val="26"/>
          <w:u w:val="none"/>
        </w:rPr>
        <w:t>UNEP/CHW.13/INF/38-UNEP/FAO/RC/COP.8/INF/27-UNEP/POPS/COP.8/INF/44</w:t>
      </w:r>
      <w:r w:rsidRPr="002E36D3">
        <w:rPr>
          <w:rStyle w:val="DeltaViewInsertion"/>
          <w:rFonts w:ascii="Times New Roman" w:hAnsi="Times New Roman" w:cs="Traditional Arabic" w:hint="cs"/>
          <w:color w:val="000000" w:themeColor="text1"/>
          <w:sz w:val="18"/>
          <w:szCs w:val="26"/>
          <w:u w:val="none"/>
          <w:rtl/>
        </w:rPr>
        <w:t>.</w:t>
      </w:r>
    </w:p>
  </w:footnote>
  <w:footnote w:id="2">
    <w:p w:rsidR="002E36D3" w:rsidRPr="002E36D3" w:rsidRDefault="002E36D3" w:rsidP="002E36D3">
      <w:pPr>
        <w:pStyle w:val="FootnoteText"/>
        <w:spacing w:after="60" w:line="300" w:lineRule="exact"/>
        <w:ind w:left="1134"/>
        <w:jc w:val="both"/>
        <w:textDirection w:val="tbRlV"/>
        <w:rPr>
          <w:rFonts w:ascii="Times New Roman" w:hAnsi="Times New Roman" w:cs="Traditional Arabic"/>
          <w:color w:val="000000" w:themeColor="text1"/>
          <w:sz w:val="18"/>
          <w:szCs w:val="26"/>
          <w:rtl/>
          <w:lang w:eastAsia="zh-TW"/>
        </w:rPr>
      </w:pPr>
      <w:r w:rsidRPr="002E36D3">
        <w:rPr>
          <w:rFonts w:ascii="Times New Roman" w:hAnsi="Times New Roman" w:cs="Traditional Arabic"/>
          <w:color w:val="000000" w:themeColor="text1"/>
          <w:sz w:val="18"/>
          <w:szCs w:val="26"/>
          <w:rtl/>
        </w:rPr>
        <w:t>(</w:t>
      </w:r>
      <w:r w:rsidRPr="002E36D3">
        <w:rPr>
          <w:rStyle w:val="FootnoteReference"/>
          <w:rFonts w:cs="Traditional Arabic"/>
          <w:color w:val="000000" w:themeColor="text1"/>
          <w:sz w:val="18"/>
          <w:szCs w:val="26"/>
          <w:rtl/>
        </w:rPr>
        <w:footnoteRef/>
      </w:r>
      <w:r w:rsidRPr="002E36D3">
        <w:rPr>
          <w:rFonts w:ascii="Times New Roman" w:hAnsi="Times New Roman" w:cs="Traditional Arabic"/>
          <w:color w:val="000000" w:themeColor="text1"/>
          <w:sz w:val="18"/>
          <w:szCs w:val="26"/>
          <w:rtl/>
        </w:rPr>
        <w:t>)</w:t>
      </w:r>
      <w:r w:rsidRPr="002E36D3">
        <w:rPr>
          <w:rFonts w:ascii="Times New Roman" w:hAnsi="Times New Roman" w:cs="Traditional Arabic" w:hint="cs"/>
          <w:color w:val="000000" w:themeColor="text1"/>
          <w:sz w:val="18"/>
          <w:szCs w:val="26"/>
          <w:rtl/>
        </w:rPr>
        <w:t xml:space="preserve">  </w:t>
      </w:r>
      <w:r w:rsidRPr="002E36D3">
        <w:rPr>
          <w:rStyle w:val="DeltaViewInsertion"/>
          <w:rFonts w:ascii="Times New Roman" w:hAnsi="Times New Roman" w:cs="Traditional Arabic"/>
          <w:color w:val="000000" w:themeColor="text1"/>
          <w:sz w:val="18"/>
          <w:szCs w:val="26"/>
          <w:u w:val="none"/>
        </w:rPr>
        <w:t>UNEP/CHW.13/INF/39-UNEP/FAO/RC/COP.8/INF/28-UNEP/POPS/COP.8/INF/45</w:t>
      </w:r>
      <w:r w:rsidRPr="002E36D3">
        <w:rPr>
          <w:rStyle w:val="DeltaViewInsertion"/>
          <w:rFonts w:ascii="Times New Roman" w:hAnsi="Times New Roman" w:cs="Traditional Arabic" w:hint="cs"/>
          <w:color w:val="000000" w:themeColor="text1"/>
          <w:sz w:val="18"/>
          <w:szCs w:val="26"/>
          <w:u w:val="none"/>
          <w:rtl/>
        </w:rPr>
        <w:t>.</w:t>
      </w:r>
    </w:p>
  </w:footnote>
  <w:footnote w:id="3">
    <w:p w:rsidR="002E36D3" w:rsidRPr="00961091" w:rsidRDefault="002E36D3" w:rsidP="002E36D3">
      <w:pPr>
        <w:pStyle w:val="FootnoteText"/>
        <w:spacing w:after="60" w:line="300" w:lineRule="exact"/>
        <w:ind w:left="1134"/>
        <w:jc w:val="both"/>
        <w:textDirection w:val="tbRlV"/>
        <w:rPr>
          <w:rFonts w:ascii="Times New Roman" w:hAnsi="Times New Roman" w:cs="Traditional Arabic"/>
          <w:color w:val="000000" w:themeColor="text1"/>
          <w:sz w:val="18"/>
          <w:szCs w:val="26"/>
          <w:rtl/>
          <w:lang w:val="en-GB" w:eastAsia="zh-TW"/>
        </w:rPr>
      </w:pPr>
      <w:r w:rsidRPr="002E36D3">
        <w:rPr>
          <w:rFonts w:ascii="Times New Roman" w:hAnsi="Times New Roman" w:cs="Traditional Arabic"/>
          <w:color w:val="000000" w:themeColor="text1"/>
          <w:sz w:val="18"/>
          <w:szCs w:val="26"/>
          <w:rtl/>
        </w:rPr>
        <w:t>(</w:t>
      </w:r>
      <w:r w:rsidRPr="002E36D3">
        <w:rPr>
          <w:rStyle w:val="FootnoteReference"/>
          <w:rFonts w:cs="Traditional Arabic"/>
          <w:color w:val="000000" w:themeColor="text1"/>
          <w:sz w:val="18"/>
          <w:szCs w:val="26"/>
          <w:rtl/>
        </w:rPr>
        <w:footnoteRef/>
      </w:r>
      <w:r w:rsidRPr="002E36D3">
        <w:rPr>
          <w:rFonts w:ascii="Times New Roman" w:hAnsi="Times New Roman" w:cs="Traditional Arabic"/>
          <w:color w:val="000000" w:themeColor="text1"/>
          <w:sz w:val="18"/>
          <w:szCs w:val="26"/>
          <w:rtl/>
        </w:rPr>
        <w:t>)</w:t>
      </w:r>
      <w:r w:rsidRPr="002E36D3">
        <w:rPr>
          <w:rFonts w:ascii="Times New Roman" w:hAnsi="Times New Roman" w:cs="Traditional Arabic" w:hint="cs"/>
          <w:color w:val="000000" w:themeColor="text1"/>
          <w:sz w:val="18"/>
          <w:szCs w:val="26"/>
          <w:rtl/>
        </w:rPr>
        <w:t xml:space="preserve">  </w:t>
      </w:r>
      <w:r w:rsidRPr="002E36D3">
        <w:rPr>
          <w:rStyle w:val="DeltaViewInsertion"/>
          <w:rFonts w:ascii="Times New Roman" w:hAnsi="Times New Roman" w:cs="Traditional Arabic"/>
          <w:color w:val="000000" w:themeColor="text1"/>
          <w:sz w:val="18"/>
          <w:szCs w:val="26"/>
          <w:u w:val="none"/>
        </w:rPr>
        <w:t>UNEP/CHW.13/INF/54-UNEP/FAO/RC/COP.8/INF/42-UNEP/POPS/COP.8/INF/58</w:t>
      </w:r>
      <w:r w:rsidRPr="002E36D3">
        <w:rPr>
          <w:rStyle w:val="DeltaViewInsertion"/>
          <w:rFonts w:ascii="Times New Roman" w:hAnsi="Times New Roman" w:cs="Traditional Arabic" w:hint="cs"/>
          <w:color w:val="000000" w:themeColor="text1"/>
          <w:sz w:val="18"/>
          <w:szCs w:val="26"/>
          <w:u w:val="none"/>
          <w:rtl/>
        </w:rPr>
        <w:t>.</w:t>
      </w:r>
    </w:p>
  </w:footnote>
  <w:footnote w:id="4">
    <w:p w:rsidR="002E36D3" w:rsidRPr="00961091" w:rsidRDefault="002E36D3" w:rsidP="002E36D3">
      <w:pPr>
        <w:pStyle w:val="FootnoteText"/>
        <w:spacing w:after="60" w:line="300" w:lineRule="exact"/>
        <w:ind w:left="1134"/>
        <w:jc w:val="both"/>
        <w:textDirection w:val="tbRlV"/>
        <w:rPr>
          <w:rFonts w:ascii="Times New Roman" w:hAnsi="Times New Roman" w:cs="Traditional Arabic"/>
          <w:color w:val="000000" w:themeColor="text1"/>
          <w:sz w:val="18"/>
          <w:szCs w:val="26"/>
          <w:rtl/>
          <w:lang w:val="en-GB" w:eastAsia="zh-TW"/>
        </w:rPr>
      </w:pPr>
      <w:r w:rsidRPr="00961091">
        <w:rPr>
          <w:rFonts w:ascii="Times New Roman" w:hAnsi="Times New Roman" w:cs="Traditional Arabic"/>
          <w:color w:val="000000" w:themeColor="text1"/>
          <w:sz w:val="18"/>
          <w:szCs w:val="26"/>
          <w:rtl/>
        </w:rPr>
        <w:t>(</w:t>
      </w:r>
      <w:r w:rsidRPr="00961091">
        <w:rPr>
          <w:rStyle w:val="FootnoteReference"/>
          <w:rFonts w:cs="Traditional Arabic"/>
          <w:color w:val="000000" w:themeColor="text1"/>
          <w:sz w:val="18"/>
          <w:szCs w:val="26"/>
          <w:rtl/>
        </w:rPr>
        <w:footnoteRef/>
      </w:r>
      <w:r w:rsidRPr="00961091">
        <w:rPr>
          <w:rFonts w:ascii="Times New Roman" w:hAnsi="Times New Roman" w:cs="Traditional Arabic"/>
          <w:color w:val="000000" w:themeColor="text1"/>
          <w:sz w:val="18"/>
          <w:szCs w:val="26"/>
          <w:rtl/>
        </w:rPr>
        <w:t>)</w:t>
      </w:r>
      <w:r w:rsidRPr="00961091">
        <w:rPr>
          <w:rFonts w:ascii="Times New Roman" w:hAnsi="Times New Roman" w:cs="Traditional Arabic" w:hint="cs"/>
          <w:color w:val="000000" w:themeColor="text1"/>
          <w:sz w:val="18"/>
          <w:szCs w:val="26"/>
          <w:rtl/>
        </w:rPr>
        <w:t xml:space="preserve">  </w:t>
      </w:r>
      <w:r w:rsidRPr="00961091">
        <w:rPr>
          <w:rFonts w:ascii="Times New Roman" w:hAnsi="Times New Roman" w:cs="Traditional Arabic"/>
          <w:color w:val="000000" w:themeColor="text1"/>
          <w:sz w:val="18"/>
          <w:szCs w:val="26"/>
          <w:rtl/>
          <w:lang w:val="en-GB" w:eastAsia="zh-TW"/>
        </w:rPr>
        <w:t>وفقا</w:t>
      </w:r>
      <w:r w:rsidRPr="00961091">
        <w:rPr>
          <w:rFonts w:ascii="Times New Roman" w:hAnsi="Times New Roman" w:cs="Traditional Arabic" w:hint="cs"/>
          <w:color w:val="000000" w:themeColor="text1"/>
          <w:sz w:val="18"/>
          <w:szCs w:val="26"/>
          <w:rtl/>
          <w:lang w:val="en-GB" w:eastAsia="zh-TW"/>
        </w:rPr>
        <w:t>ً</w:t>
      </w:r>
      <w:r w:rsidRPr="00961091">
        <w:rPr>
          <w:rFonts w:ascii="Times New Roman" w:hAnsi="Times New Roman" w:cs="Traditional Arabic"/>
          <w:color w:val="000000" w:themeColor="text1"/>
          <w:sz w:val="18"/>
          <w:szCs w:val="26"/>
          <w:rtl/>
          <w:lang w:val="en-GB" w:eastAsia="zh-TW"/>
        </w:rPr>
        <w:t xml:space="preserve"> لمقررات اللجنة الإحصائية للأمم المتحدة</w:t>
      </w:r>
      <w:r w:rsidRPr="00961091">
        <w:rPr>
          <w:rFonts w:ascii="Times New Roman" w:hAnsi="Times New Roman" w:cs="Traditional Arabic" w:hint="cs"/>
          <w:color w:val="000000" w:themeColor="text1"/>
          <w:sz w:val="18"/>
          <w:szCs w:val="26"/>
          <w:rtl/>
          <w:lang w:val="en-GB" w:eastAsia="zh-TW"/>
        </w:rPr>
        <w:t>.</w:t>
      </w:r>
    </w:p>
  </w:footnote>
  <w:footnote w:id="5">
    <w:p w:rsidR="002E36D3" w:rsidRPr="00961091" w:rsidRDefault="002E36D3" w:rsidP="002E36D3">
      <w:pPr>
        <w:pStyle w:val="FootnoteText"/>
        <w:spacing w:after="60" w:line="300" w:lineRule="exact"/>
        <w:ind w:left="1134"/>
        <w:jc w:val="both"/>
        <w:textDirection w:val="tbRlV"/>
        <w:rPr>
          <w:sz w:val="26"/>
          <w:szCs w:val="26"/>
          <w:rtl/>
          <w:lang w:val="en-GB" w:eastAsia="zh-TW"/>
        </w:rPr>
      </w:pPr>
      <w:r w:rsidRPr="00961091">
        <w:rPr>
          <w:rFonts w:cs="Traditional Arabic"/>
          <w:sz w:val="26"/>
          <w:szCs w:val="26"/>
          <w:rtl/>
        </w:rPr>
        <w:t>(</w:t>
      </w:r>
      <w:r w:rsidRPr="00961091">
        <w:rPr>
          <w:rStyle w:val="FootnoteReference"/>
          <w:rFonts w:cs="Traditional Arabic"/>
          <w:sz w:val="26"/>
          <w:szCs w:val="26"/>
          <w:rtl/>
        </w:rPr>
        <w:footnoteRef/>
      </w:r>
      <w:r w:rsidRPr="00961091">
        <w:rPr>
          <w:rFonts w:cs="Traditional Arabic"/>
          <w:sz w:val="26"/>
          <w:szCs w:val="26"/>
          <w:rtl/>
        </w:rPr>
        <w:t>)</w:t>
      </w:r>
      <w:r w:rsidRPr="00961091">
        <w:rPr>
          <w:rFonts w:cs="Traditional Arabic" w:hint="cs"/>
          <w:sz w:val="26"/>
          <w:szCs w:val="26"/>
          <w:rtl/>
        </w:rPr>
        <w:t xml:space="preserve">  </w:t>
      </w:r>
      <w:r w:rsidRPr="00961091">
        <w:rPr>
          <w:rFonts w:cs="Traditional Arabic" w:hint="cs"/>
          <w:sz w:val="18"/>
          <w:szCs w:val="26"/>
          <w:rtl/>
          <w:lang w:val="en-GB" w:eastAsia="zh-TW"/>
        </w:rPr>
        <w:t xml:space="preserve">الوثيقة </w:t>
      </w:r>
      <w:r w:rsidRPr="00961091">
        <w:rPr>
          <w:rFonts w:cs="Traditional Arabic"/>
          <w:sz w:val="18"/>
          <w:szCs w:val="26"/>
          <w:lang w:val="en-GB" w:eastAsia="zh-TW"/>
        </w:rPr>
        <w:t>UNEP/CHW.13/INF/38-UNEP/FAO/RC/COP.8/INF/27-UNEP/POPS/COP.8/INF/44</w:t>
      </w:r>
      <w:r w:rsidRPr="00961091">
        <w:rPr>
          <w:rFonts w:cs="Traditional Arabic" w:hint="cs"/>
          <w:sz w:val="18"/>
          <w:szCs w:val="26"/>
          <w:rtl/>
          <w:lang w:val="en-GB" w:eastAsia="zh-TW"/>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2152E"/>
    <w:multiLevelType w:val="hybridMultilevel"/>
    <w:tmpl w:val="968AB776"/>
    <w:lvl w:ilvl="0" w:tplc="D624B1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2E36D3"/>
    <w:rsid w:val="000F08BE"/>
    <w:rsid w:val="002E36D3"/>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F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2E36D3"/>
    <w:pPr>
      <w:bidi/>
      <w:spacing w:after="0" w:line="240" w:lineRule="auto"/>
    </w:pPr>
    <w:rPr>
      <w:rFonts w:ascii="Times" w:eastAsia="Times New Roman" w:hAnsi="Times" w:cs="Simplified Arabic"/>
      <w:noProof/>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2E36D3"/>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2E36D3"/>
    <w:rPr>
      <w:vertAlign w:val="superscript"/>
    </w:rPr>
  </w:style>
  <w:style w:type="paragraph" w:customStyle="1" w:styleId="Normal-pool">
    <w:name w:val="Normal-pool"/>
    <w:link w:val="Normal-poolChar"/>
    <w:rsid w:val="002E36D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2E36D3"/>
    <w:pPr>
      <w:bidi/>
      <w:spacing w:after="0" w:line="240" w:lineRule="auto"/>
      <w:ind w:left="720"/>
      <w:contextualSpacing/>
    </w:pPr>
    <w:rPr>
      <w:rFonts w:ascii="Times" w:eastAsia="Times New Roman" w:hAnsi="Times" w:cs="Simplified Arabic"/>
      <w:noProof/>
      <w:sz w:val="20"/>
      <w:szCs w:val="28"/>
    </w:rPr>
  </w:style>
  <w:style w:type="character" w:customStyle="1" w:styleId="DeltaViewInsertion">
    <w:name w:val="DeltaView Insertion"/>
    <w:uiPriority w:val="99"/>
    <w:rsid w:val="002E36D3"/>
    <w:rPr>
      <w:color w:val="0000FF"/>
      <w:u w:val="double"/>
    </w:rPr>
  </w:style>
  <w:style w:type="character" w:customStyle="1" w:styleId="Normal-poolChar">
    <w:name w:val="Normal-pool Char"/>
    <w:link w:val="Normal-pool"/>
    <w:locked/>
    <w:rsid w:val="002E36D3"/>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472</Words>
  <Characters>2694</Characters>
  <Application>Microsoft Office Word</Application>
  <DocSecurity>0</DocSecurity>
  <Lines>22</Lines>
  <Paragraphs>6</Paragraphs>
  <ScaleCrop>false</ScaleCrop>
  <Company>BRS</Company>
  <LinksUpToDate>false</LinksUpToDate>
  <CharactersWithSpaces>3160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2018-01-29T14:54:00Z</dcterms:created>
  <dcterms:modified xsi:type="dcterms:W3CDTF">2018-01-29T14:54:00Z</dcterms:modified>
</cp:coreProperties>
</file>