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9D6" w:rsidRPr="003478B3" w:rsidRDefault="003579D6" w:rsidP="003579D6">
      <w:pPr>
        <w:ind w:left="1247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РК-8/10: Международное сотрудничество и координация</w:t>
      </w:r>
    </w:p>
    <w:p w:rsidR="003579D6" w:rsidRPr="003478B3" w:rsidRDefault="003579D6" w:rsidP="003579D6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принимает к сведению</w:t>
      </w:r>
      <w:r w:rsidRPr="003478B3">
        <w:rPr>
          <w:lang w:val="ru-RU"/>
        </w:rPr>
        <w:t xml:space="preserve"> доклад секретариата о международном сотрудничестве и координации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; записку секретариата о включении вопросов регулирования химических веществ и отходов в Повестку дня в области устойчивого развития на период до 2030 года и цели в области устойчивого развития</w:t>
      </w:r>
      <w:r w:rsidRPr="003478B3">
        <w:rPr>
          <w:vertAlign w:val="superscript"/>
          <w:lang w:val="ru-RU"/>
        </w:rPr>
        <w:footnoteReference w:id="2"/>
      </w:r>
      <w:r w:rsidRPr="003478B3">
        <w:rPr>
          <w:lang w:val="ru-RU"/>
        </w:rPr>
        <w:t>; а также информацию, представленную секретариатом Стратегического подхода к международному регулированию химических веществ о Стратегическом подходе и рациональном регулировании химических веществ и отходов после 2020 года</w:t>
      </w:r>
      <w:r w:rsidRPr="003478B3">
        <w:rPr>
          <w:vertAlign w:val="superscript"/>
          <w:lang w:val="ru-RU"/>
        </w:rPr>
        <w:footnoteReference w:id="3"/>
      </w:r>
      <w:r w:rsidRPr="003478B3">
        <w:rPr>
          <w:lang w:val="ru-RU"/>
        </w:rPr>
        <w:t>;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приветствует</w:t>
      </w:r>
      <w:r w:rsidRPr="003478B3">
        <w:rPr>
          <w:lang w:val="ru-RU"/>
        </w:rPr>
        <w:t xml:space="preserve"> Повестку дня в области устойчивого развития на период до 2030 года, которая включает рациональное регулирование химических веществ и отходов как важнейший и неотъемлемый сквозной элемент устойчивого развития;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подчеркивает</w:t>
      </w:r>
      <w:r w:rsidRPr="003478B3">
        <w:rPr>
          <w:lang w:val="ru-RU"/>
        </w:rPr>
        <w:t xml:space="preserve"> важный вклад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в оказание поддержки Сторонам этих конвенций в осуществлении Повестки дня в области устойчивого развития на период до 2030 года и достижении соответствующих целей в области устойчивого развития и выполнении связанных с ними задач;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принимает к сведению</w:t>
      </w:r>
      <w:r w:rsidRPr="003478B3">
        <w:rPr>
          <w:lang w:val="ru-RU"/>
        </w:rPr>
        <w:t xml:space="preserve"> методологию сбора данных, касающихся показателей достижения целей в области устойчивого развития, и поручает секретариату продолжать сотрудничество с Программой Организации Объединенных Наций по окружающей среде и секретариатами других многосторонних природоохранных соглашений, связанных с химическими веществами и отходами, для обеспечения скоординированного подхода к применению этой методологии;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предоставлять в распоряжение Программы Организации Объединенных Наций по окружающей среде передаваемую ему Сторонами информацию, касающуюся осуществления Повестки дня в области устойчивого развития на период до 2030 года, в виде вклада в общую последующую деятельность и обзор, проводимые политическим форумом высокого уровня по устойчивому развитию; 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также поручает</w:t>
      </w:r>
      <w:r w:rsidRPr="003478B3">
        <w:rPr>
          <w:lang w:val="ru-RU"/>
        </w:rPr>
        <w:t xml:space="preserve"> секретариату продолжать сотрудничать с Программой Организации Объединенных Наций по окружающей среде, Статистическим отделом Организации Объединенных Наций и другими соответствующими организациями в разработке методологий для показателей, относящихся к Базельской, Роттердамской и Стокгольмской конвенциям</w:t>
      </w:r>
      <w:r w:rsidRPr="003478B3">
        <w:rPr>
          <w:vertAlign w:val="superscript"/>
          <w:lang w:val="ru-RU"/>
        </w:rPr>
        <w:footnoteReference w:id="4"/>
      </w:r>
      <w:r w:rsidRPr="003478B3">
        <w:rPr>
          <w:lang w:val="ru-RU"/>
        </w:rPr>
        <w:t xml:space="preserve">; 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7.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 далее</w:t>
      </w:r>
      <w:r w:rsidRPr="003478B3">
        <w:rPr>
          <w:lang w:val="ru-RU"/>
        </w:rPr>
        <w:t xml:space="preserve"> секретариату, при условии наличия ресурсов, оказывать содействие Сторонам, по запросу, в их усилиях по включению соответствующих элементов конвенций в их национальные планы и стратегии в области устойчивого развития, а также, в надлежащих случаях, в законодательство; 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8.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приветствует</w:t>
      </w:r>
      <w:r w:rsidRPr="003478B3">
        <w:rPr>
          <w:lang w:val="ru-RU"/>
        </w:rPr>
        <w:t xml:space="preserve"> принятие соответствующих резолюций Ассамблеей Организации Объединенных Наций по окружающей среде на ее второй сессии, предлагает Директору</w:t>
      </w:r>
      <w:r w:rsidRPr="003478B3">
        <w:rPr>
          <w:lang w:val="ru-RU"/>
        </w:rPr>
        <w:noBreakHyphen/>
        <w:t xml:space="preserve">исполнителю Программы Организации Объединенных Наций по окружающей среде учесть работу конвенций по выполнению этих резолюций и поручает Исполнительному секретарю Базельской, Роттердамской и Стокгольмской конвенций сотрудничать с </w:t>
      </w:r>
      <w:r w:rsidRPr="003478B3">
        <w:rPr>
          <w:lang w:val="ru-RU"/>
        </w:rPr>
        <w:lastRenderedPageBreak/>
        <w:t>Директором-исполнителем Программы Организации Объединенных Наций по окружающей среде при выполнении этих резолюций;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9.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приветствует</w:t>
      </w:r>
      <w:r w:rsidRPr="003478B3">
        <w:rPr>
          <w:lang w:val="ru-RU"/>
        </w:rPr>
        <w:t xml:space="preserve"> резолюции, принятые на четвертой сессии Международной конференции по регулированию химических веществ, включая, в частности, одобрение элементов общей направленности и указаний для достижения намеченной на 2020 год цели, и резолюцию о начале межсессионного процесса по рациональному регулированию химических веществ и отходов на период после 2020 года, и поручает секретариату продолжать сотрудничать с секретариатом Стратегического подхода в этом отношении, принимать участие в межсессионном процессе Стратегического подхода по рациональному регулированию химических веществ и отходов на период после 2020 года и вносить в него соответствующий вклад;</w:t>
      </w:r>
    </w:p>
    <w:p w:rsidR="003579D6" w:rsidRPr="003478B3" w:rsidRDefault="003579D6" w:rsidP="003579D6">
      <w:pPr>
        <w:ind w:left="1247" w:firstLine="624"/>
        <w:rPr>
          <w:lang w:val="ru-RU"/>
        </w:rPr>
      </w:pPr>
      <w:r w:rsidRPr="003478B3">
        <w:rPr>
          <w:lang w:val="ru-RU"/>
        </w:rPr>
        <w:t>10.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продолжать расширять сотрудничество и координацию с временным секретариатом Минаматской конвенции о ртути и секретариатом Стратегического подхода в областях, актуальных для Базельской, Роттердамской и Стокгольмской конвенций, а также с международными организациями и в рамках мероприятий, которые перечислены в докладе секретариата о международном сотрудничестве и координации</w:t>
      </w:r>
      <w:r w:rsidRPr="003478B3">
        <w:rPr>
          <w:vertAlign w:val="superscript"/>
          <w:lang w:val="ru-RU"/>
        </w:rPr>
        <w:footnoteReference w:id="5"/>
      </w:r>
      <w:r w:rsidRPr="003478B3">
        <w:rPr>
          <w:lang w:val="ru-RU"/>
        </w:rPr>
        <w:t>;</w:t>
      </w:r>
    </w:p>
    <w:p w:rsidR="006B304F" w:rsidRPr="003579D6" w:rsidRDefault="003579D6" w:rsidP="003579D6">
      <w:pPr>
        <w:ind w:left="1247" w:firstLine="624"/>
      </w:pPr>
      <w:r w:rsidRPr="003478B3">
        <w:rPr>
          <w:lang w:val="ru-RU"/>
        </w:rPr>
        <w:t>11.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также поручает</w:t>
      </w:r>
      <w:r w:rsidRPr="003478B3">
        <w:rPr>
          <w:lang w:val="ru-RU"/>
        </w:rPr>
        <w:t xml:space="preserve"> секретариату представить Конференции Сторон на ее следующем совещании доклад о выполнении настоящего решения.</w:t>
      </w:r>
    </w:p>
    <w:sectPr w:rsidR="006B304F" w:rsidRPr="003579D6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D22" w:rsidRDefault="009C6D22" w:rsidP="003579D6">
      <w:pPr>
        <w:spacing w:after="0"/>
      </w:pPr>
      <w:r>
        <w:separator/>
      </w:r>
    </w:p>
  </w:endnote>
  <w:endnote w:type="continuationSeparator" w:id="0">
    <w:p w:rsidR="009C6D22" w:rsidRDefault="009C6D22" w:rsidP="003579D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D22" w:rsidRDefault="009C6D22" w:rsidP="003579D6">
      <w:pPr>
        <w:spacing w:after="0"/>
      </w:pPr>
      <w:r>
        <w:separator/>
      </w:r>
    </w:p>
  </w:footnote>
  <w:footnote w:type="continuationSeparator" w:id="0">
    <w:p w:rsidR="009C6D22" w:rsidRDefault="009C6D22" w:rsidP="003579D6">
      <w:pPr>
        <w:spacing w:after="0"/>
      </w:pPr>
      <w:r>
        <w:continuationSeparator/>
      </w:r>
    </w:p>
  </w:footnote>
  <w:footnote w:id="1">
    <w:p w:rsidR="003579D6" w:rsidRPr="00BC3D09" w:rsidRDefault="003579D6" w:rsidP="003579D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  <w:lang w:val="ru-RU"/>
        </w:rPr>
        <w:footnoteRef/>
      </w:r>
      <w:r w:rsidRPr="00BC3D09">
        <w:rPr>
          <w:szCs w:val="18"/>
          <w:lang w:val="en-US"/>
        </w:rPr>
        <w:tab/>
        <w:t>UNEP/CHW.13/INF/38-UNEP/FAO/RC/COP.8/INF/27-UNEP/POPS/COP.8/INF/44.</w:t>
      </w:r>
    </w:p>
  </w:footnote>
  <w:footnote w:id="2">
    <w:p w:rsidR="003579D6" w:rsidRPr="00BC3D09" w:rsidRDefault="003579D6" w:rsidP="003579D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  <w:lang w:val="ru-RU"/>
        </w:rPr>
        <w:footnoteRef/>
      </w:r>
      <w:r w:rsidRPr="00BC3D09">
        <w:rPr>
          <w:szCs w:val="18"/>
          <w:lang w:val="en-US"/>
        </w:rPr>
        <w:tab/>
        <w:t>UNEP/CHW.13/INF/39-UNEP/FAO/RC/COP.8/INF/28-UNEP/POPS/COP.8/INF/45.</w:t>
      </w:r>
    </w:p>
  </w:footnote>
  <w:footnote w:id="3">
    <w:p w:rsidR="003579D6" w:rsidRPr="00BC3D09" w:rsidRDefault="003579D6" w:rsidP="003579D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  <w:lang w:val="ru-RU"/>
        </w:rPr>
        <w:footnoteRef/>
      </w:r>
      <w:r w:rsidRPr="00BC3D09">
        <w:rPr>
          <w:szCs w:val="18"/>
          <w:lang w:val="en-US"/>
        </w:rPr>
        <w:tab/>
        <w:t>UNEP/CHW.13/INF/54-UNEP/FAO/RC/COP.8/INF/42-UNEP/POPS/COP.8/INF/58.</w:t>
      </w:r>
    </w:p>
  </w:footnote>
  <w:footnote w:id="4">
    <w:p w:rsidR="003579D6" w:rsidRPr="00BC3D09" w:rsidRDefault="003579D6" w:rsidP="003579D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  <w:lang w:val="ru-RU"/>
        </w:rPr>
        <w:footnoteRef/>
      </w:r>
      <w:r w:rsidRPr="00BC3D09">
        <w:rPr>
          <w:szCs w:val="18"/>
          <w:lang w:val="ru-RU"/>
        </w:rPr>
        <w:tab/>
      </w:r>
      <w:r w:rsidRPr="00BC3D09">
        <w:rPr>
          <w:szCs w:val="18"/>
          <w:lang w:val="ru-RU"/>
        </w:rPr>
        <w:t>В соответствии с решениями Статистической комиссии Организации Объединенных Наций.</w:t>
      </w:r>
    </w:p>
  </w:footnote>
  <w:footnote w:id="5">
    <w:p w:rsidR="003579D6" w:rsidRPr="00BC3D09" w:rsidRDefault="003579D6" w:rsidP="003579D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  <w:lang w:val="ru-RU"/>
        </w:rPr>
        <w:footnoteRef/>
      </w:r>
      <w:r w:rsidRPr="00BC3D09">
        <w:rPr>
          <w:szCs w:val="18"/>
          <w:lang w:val="en-US"/>
        </w:rPr>
        <w:tab/>
        <w:t>UNEP/CHW.13/INF/38-UNEP/FAO/RC/COP.8/INF/27-UNEP/POPS/COP.8/INF/44.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79D6"/>
    <w:rsid w:val="003579D6"/>
    <w:rsid w:val="006B304F"/>
    <w:rsid w:val="009C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579D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3579D6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3579D6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3579D6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3831</Characters>
  <Application>Microsoft Office Word</Application>
  <DocSecurity>0</DocSecurity>
  <Lines>31</Lines>
  <Paragraphs>8</Paragraphs>
  <ScaleCrop>false</ScaleCrop>
  <Company>BRS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2018-01-29T15:29:00Z</dcterms:created>
  <dcterms:modified xsi:type="dcterms:W3CDTF">2018-01-29T15:29:00Z</dcterms:modified>
</cp:coreProperties>
</file>