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444F1" w:rsidRDefault="002444F1" w:rsidP="002444F1">
      <w:pPr>
        <w:pStyle w:val="Normal-pool"/>
        <w:tabs>
          <w:tab w:val="clear" w:pos="1247"/>
          <w:tab w:val="clear" w:pos="1814"/>
          <w:tab w:val="clear" w:pos="2381"/>
          <w:tab w:val="clear" w:pos="2948"/>
          <w:tab w:val="clear" w:pos="3515"/>
          <w:tab w:val="left" w:pos="624"/>
        </w:tabs>
        <w:spacing w:after="120"/>
        <w:ind w:left="1276"/>
        <w:jc w:val="both"/>
        <w:rPr>
          <w:rFonts w:eastAsia="SimHei"/>
          <w:b/>
          <w:sz w:val="28"/>
          <w:szCs w:val="28"/>
        </w:rPr>
      </w:pPr>
      <w:r w:rsidRPr="002444F1">
        <w:rPr>
          <w:rFonts w:ascii="Times New Roman" w:eastAsia="SimHei" w:hAnsi="Times New Roman" w:cs="Times New Roman"/>
          <w:b/>
          <w:sz w:val="28"/>
          <w:szCs w:val="28"/>
        </w:rPr>
        <w:t>RC-8/11</w:t>
      </w:r>
      <w:r w:rsidRPr="002444F1">
        <w:rPr>
          <w:rFonts w:ascii="Times New Roman" w:eastAsia="SimHei" w:hAnsi="Times New Roman" w:cs="Times New Roman" w:hint="eastAsia"/>
          <w:b/>
          <w:sz w:val="28"/>
          <w:szCs w:val="28"/>
        </w:rPr>
        <w:t>：</w:t>
      </w:r>
      <w:r>
        <w:rPr>
          <w:rFonts w:eastAsia="SimHei" w:hint="eastAsia"/>
          <w:b/>
          <w:sz w:val="28"/>
          <w:szCs w:val="28"/>
        </w:rPr>
        <w:t>加强《巴塞尔公约》、《鹿特丹公约》和《斯德哥尔摩公约》之间的合作与协调</w:t>
      </w:r>
    </w:p>
    <w:p w:rsidR="002444F1" w:rsidRDefault="002444F1" w:rsidP="002444F1">
      <w:pPr>
        <w:tabs>
          <w:tab w:val="left" w:pos="624"/>
        </w:tabs>
        <w:spacing w:after="120"/>
        <w:ind w:left="1247" w:firstLine="624"/>
        <w:jc w:val="both"/>
        <w:outlineLvl w:val="0"/>
        <w:rPr>
          <w:rFonts w:eastAsia="楷体"/>
          <w:sz w:val="24"/>
        </w:rPr>
      </w:pPr>
      <w:r>
        <w:rPr>
          <w:rFonts w:eastAsia="楷体" w:hint="eastAsia"/>
          <w:sz w:val="24"/>
        </w:rPr>
        <w:t>缔约方大会，</w:t>
      </w:r>
    </w:p>
    <w:p w:rsidR="002444F1" w:rsidRDefault="002444F1" w:rsidP="002444F1">
      <w:pPr>
        <w:pStyle w:val="NormalNonumber"/>
        <w:tabs>
          <w:tab w:val="left" w:pos="624"/>
        </w:tabs>
        <w:ind w:firstLine="624"/>
        <w:jc w:val="both"/>
        <w:rPr>
          <w:rFonts w:eastAsia="SimSun"/>
          <w:sz w:val="24"/>
        </w:rPr>
      </w:pPr>
      <w:r>
        <w:rPr>
          <w:rFonts w:eastAsia="楷体" w:hint="eastAsia"/>
          <w:sz w:val="24"/>
        </w:rPr>
        <w:t>意识到</w:t>
      </w:r>
      <w:r>
        <w:rPr>
          <w:rFonts w:hint="eastAsia"/>
          <w:sz w:val="24"/>
        </w:rPr>
        <w:t>《控制危险废物越境转移及其处置巴塞尔公约》、《关于在国际贸易中对某些危险化学品和农药采用事先知情同意程序的鹿特丹公约》和《关于持久性有机污染物的斯德哥尔摩公约》各自的法律自主权，</w:t>
      </w:r>
    </w:p>
    <w:p w:rsidR="002444F1" w:rsidRDefault="002444F1" w:rsidP="002444F1">
      <w:pPr>
        <w:pStyle w:val="NormalNonumber"/>
        <w:tabs>
          <w:tab w:val="left" w:pos="624"/>
        </w:tabs>
        <w:ind w:firstLine="624"/>
        <w:jc w:val="both"/>
        <w:rPr>
          <w:sz w:val="24"/>
        </w:rPr>
      </w:pPr>
      <w:r>
        <w:rPr>
          <w:rFonts w:eastAsia="楷体" w:hint="eastAsia"/>
          <w:sz w:val="24"/>
        </w:rPr>
        <w:t>重申</w:t>
      </w:r>
      <w:r>
        <w:rPr>
          <w:rFonts w:hint="eastAsia"/>
          <w:sz w:val="24"/>
        </w:rPr>
        <w:t>所采取的旨在加强协调与合作的行动应着眼于加强三大公约在国家、区域和全球各级的实施，促进连贯一致的政策指导，以及提高向缔约方提供支助的效率，以减轻其行政负担，并使各级的资源最大程度地得到切实有效的利用，同时酌情考虑国家层面的活动、</w:t>
      </w:r>
      <w:bookmarkStart w:id="0" w:name="_GoBack"/>
      <w:bookmarkEnd w:id="0"/>
      <w:r>
        <w:rPr>
          <w:rFonts w:hint="eastAsia"/>
          <w:sz w:val="24"/>
        </w:rPr>
        <w:t>环境和优先事项，</w:t>
      </w:r>
    </w:p>
    <w:p w:rsidR="002444F1" w:rsidRDefault="002444F1" w:rsidP="002444F1">
      <w:pPr>
        <w:pStyle w:val="NormalNonumber"/>
        <w:tabs>
          <w:tab w:val="left" w:pos="624"/>
        </w:tabs>
        <w:ind w:firstLine="624"/>
        <w:jc w:val="both"/>
        <w:rPr>
          <w:sz w:val="24"/>
        </w:rPr>
      </w:pPr>
      <w:r>
        <w:rPr>
          <w:rFonts w:eastAsia="楷体" w:hint="eastAsia"/>
          <w:sz w:val="24"/>
        </w:rPr>
        <w:t>意识到</w:t>
      </w:r>
      <w:r>
        <w:rPr>
          <w:rFonts w:hint="eastAsia"/>
          <w:spacing w:val="-14"/>
          <w:sz w:val="24"/>
        </w:rPr>
        <w:t>各缔约方大会在其</w:t>
      </w:r>
      <w:r>
        <w:rPr>
          <w:spacing w:val="-14"/>
          <w:sz w:val="24"/>
        </w:rPr>
        <w:t>2017</w:t>
      </w:r>
      <w:r>
        <w:rPr>
          <w:rFonts w:hint="eastAsia"/>
          <w:spacing w:val="-14"/>
          <w:sz w:val="24"/>
        </w:rPr>
        <w:t>年联会上通过的决定中，提到了关于</w:t>
      </w:r>
      <w:r>
        <w:rPr>
          <w:spacing w:val="-14"/>
          <w:sz w:val="24"/>
        </w:rPr>
        <w:t>BC-12/20</w:t>
      </w:r>
      <w:r>
        <w:rPr>
          <w:rFonts w:hint="eastAsia"/>
          <w:sz w:val="24"/>
        </w:rPr>
        <w:t>号、</w:t>
      </w:r>
      <w:r>
        <w:rPr>
          <w:sz w:val="24"/>
        </w:rPr>
        <w:t>RC-7/10</w:t>
      </w:r>
      <w:r>
        <w:rPr>
          <w:rFonts w:hint="eastAsia"/>
          <w:sz w:val="24"/>
        </w:rPr>
        <w:t>号和</w:t>
      </w:r>
      <w:r>
        <w:rPr>
          <w:sz w:val="24"/>
        </w:rPr>
        <w:t>SC</w:t>
      </w:r>
      <w:r>
        <w:rPr>
          <w:sz w:val="24"/>
        </w:rPr>
        <w:noBreakHyphen/>
        <w:t>7/28</w:t>
      </w:r>
      <w:r>
        <w:rPr>
          <w:sz w:val="24"/>
          <w:vertAlign w:val="superscript"/>
        </w:rPr>
        <w:footnoteReference w:id="1"/>
      </w:r>
      <w:r>
        <w:rPr>
          <w:rFonts w:hint="eastAsia"/>
          <w:sz w:val="24"/>
        </w:rPr>
        <w:t>号决定所要求开展审议的多份报告所载建议的其中几项后续行动，</w:t>
      </w:r>
    </w:p>
    <w:p w:rsidR="002444F1" w:rsidRDefault="002444F1" w:rsidP="002444F1">
      <w:pPr>
        <w:pStyle w:val="Normalnumber"/>
        <w:numPr>
          <w:ilvl w:val="0"/>
          <w:numId w:val="2"/>
        </w:numPr>
        <w:tabs>
          <w:tab w:val="clear" w:pos="1247"/>
          <w:tab w:val="clear" w:pos="1814"/>
          <w:tab w:val="left" w:pos="624"/>
          <w:tab w:val="left" w:pos="2340"/>
        </w:tabs>
        <w:ind w:firstLine="624"/>
        <w:jc w:val="both"/>
        <w:rPr>
          <w:sz w:val="24"/>
        </w:rPr>
      </w:pPr>
      <w:r>
        <w:rPr>
          <w:rFonts w:eastAsia="楷体" w:hint="eastAsia"/>
          <w:sz w:val="24"/>
          <w:lang w:val="en-GB"/>
        </w:rPr>
        <w:t>欢迎</w:t>
      </w:r>
      <w:r>
        <w:rPr>
          <w:rFonts w:hint="eastAsia"/>
          <w:sz w:val="24"/>
        </w:rPr>
        <w:t>关于进一步审议协同增效安排的报告；</w:t>
      </w:r>
      <w:r>
        <w:rPr>
          <w:sz w:val="24"/>
          <w:vertAlign w:val="superscript"/>
          <w:lang w:val="en-GB"/>
        </w:rPr>
        <w:footnoteReference w:id="2"/>
      </w:r>
    </w:p>
    <w:p w:rsidR="002444F1" w:rsidRDefault="002444F1" w:rsidP="002444F1">
      <w:pPr>
        <w:pStyle w:val="Normalnumber"/>
        <w:numPr>
          <w:ilvl w:val="0"/>
          <w:numId w:val="3"/>
        </w:numPr>
        <w:tabs>
          <w:tab w:val="left" w:pos="624"/>
        </w:tabs>
        <w:ind w:firstLine="624"/>
        <w:jc w:val="both"/>
        <w:rPr>
          <w:sz w:val="24"/>
        </w:rPr>
      </w:pPr>
      <w:r>
        <w:rPr>
          <w:rFonts w:eastAsia="楷体" w:hint="eastAsia"/>
          <w:sz w:val="24"/>
          <w:lang w:val="en-GB"/>
        </w:rPr>
        <w:t>又欢迎</w:t>
      </w:r>
      <w:r>
        <w:rPr>
          <w:rFonts w:hint="eastAsia"/>
          <w:sz w:val="24"/>
        </w:rPr>
        <w:t>联合国粮食及农业组织执行主任与总干事磋商编制的关于审议矩阵管理方法和组织</w:t>
      </w:r>
      <w:r>
        <w:rPr>
          <w:sz w:val="24"/>
          <w:vertAlign w:val="superscript"/>
          <w:lang w:val="en-GB"/>
        </w:rPr>
        <w:footnoteReference w:id="3"/>
      </w:r>
      <w:r>
        <w:rPr>
          <w:rFonts w:hint="eastAsia"/>
          <w:sz w:val="24"/>
        </w:rPr>
        <w:t>的报告；</w:t>
      </w:r>
    </w:p>
    <w:p w:rsidR="002444F1" w:rsidRDefault="002444F1" w:rsidP="002444F1">
      <w:pPr>
        <w:pStyle w:val="Normalnumber"/>
        <w:numPr>
          <w:ilvl w:val="0"/>
          <w:numId w:val="3"/>
        </w:numPr>
        <w:tabs>
          <w:tab w:val="left" w:pos="624"/>
        </w:tabs>
        <w:ind w:firstLine="624"/>
        <w:jc w:val="both"/>
        <w:rPr>
          <w:sz w:val="24"/>
        </w:rPr>
      </w:pPr>
      <w:r>
        <w:rPr>
          <w:rFonts w:eastAsia="楷体" w:hint="eastAsia"/>
          <w:sz w:val="24"/>
          <w:lang w:val="en-GB"/>
        </w:rPr>
        <w:t>还欢迎</w:t>
      </w:r>
      <w:r>
        <w:rPr>
          <w:rFonts w:hint="eastAsia"/>
          <w:sz w:val="24"/>
        </w:rPr>
        <w:t>关于审议加强协同增效安排的提案的报告，提案载于联合国粮食及农业组织主持的《鹿特丹公约》秘书处部分的组织结构和运作情况的秘书处说明；</w:t>
      </w:r>
      <w:r>
        <w:rPr>
          <w:sz w:val="24"/>
          <w:vertAlign w:val="superscript"/>
          <w:lang w:val="en-GB"/>
        </w:rPr>
        <w:footnoteReference w:id="4"/>
      </w:r>
    </w:p>
    <w:p w:rsidR="002444F1" w:rsidRDefault="002444F1" w:rsidP="002444F1">
      <w:pPr>
        <w:pStyle w:val="Normalnumber"/>
        <w:numPr>
          <w:ilvl w:val="0"/>
          <w:numId w:val="3"/>
        </w:numPr>
        <w:tabs>
          <w:tab w:val="left" w:pos="624"/>
        </w:tabs>
        <w:ind w:firstLine="624"/>
        <w:jc w:val="both"/>
        <w:rPr>
          <w:iCs/>
          <w:sz w:val="24"/>
        </w:rPr>
      </w:pPr>
      <w:r>
        <w:rPr>
          <w:rFonts w:eastAsia="楷体" w:hint="eastAsia"/>
          <w:sz w:val="24"/>
          <w:lang w:val="en-GB"/>
        </w:rPr>
        <w:t>请</w:t>
      </w:r>
      <w:r>
        <w:rPr>
          <w:rFonts w:hint="eastAsia"/>
          <w:sz w:val="24"/>
        </w:rPr>
        <w:t>秘书处继续寻找机会加强巴塞尔、鹿特丹和斯德哥尔摩公约之间的协调与合作，从而确保政策一致并加强效率，旨在减少行政负担并最大化确保各级对资源的有效和高效使用；</w:t>
      </w:r>
    </w:p>
    <w:p w:rsidR="002444F1" w:rsidRDefault="002444F1" w:rsidP="002444F1">
      <w:pPr>
        <w:pStyle w:val="Normalnumber"/>
        <w:numPr>
          <w:ilvl w:val="0"/>
          <w:numId w:val="3"/>
        </w:numPr>
        <w:tabs>
          <w:tab w:val="left" w:pos="624"/>
        </w:tabs>
        <w:ind w:firstLine="624"/>
        <w:jc w:val="both"/>
        <w:rPr>
          <w:iCs/>
          <w:sz w:val="24"/>
        </w:rPr>
      </w:pPr>
      <w:r>
        <w:rPr>
          <w:rFonts w:eastAsia="楷体" w:hint="eastAsia"/>
          <w:sz w:val="24"/>
          <w:lang w:val="en-GB"/>
        </w:rPr>
        <w:t>邀请</w:t>
      </w:r>
      <w:r>
        <w:rPr>
          <w:rFonts w:hint="eastAsia"/>
          <w:sz w:val="24"/>
        </w:rPr>
        <w:t>缔约方在</w:t>
      </w:r>
      <w:r>
        <w:rPr>
          <w:sz w:val="24"/>
        </w:rPr>
        <w:t>2018</w:t>
      </w:r>
      <w:r>
        <w:rPr>
          <w:rFonts w:hint="eastAsia"/>
          <w:sz w:val="24"/>
        </w:rPr>
        <w:t>年</w:t>
      </w:r>
      <w:r>
        <w:rPr>
          <w:sz w:val="24"/>
        </w:rPr>
        <w:t>6</w:t>
      </w:r>
      <w:r>
        <w:rPr>
          <w:rFonts w:hint="eastAsia"/>
          <w:sz w:val="24"/>
        </w:rPr>
        <w:t>月</w:t>
      </w:r>
      <w:r>
        <w:rPr>
          <w:sz w:val="24"/>
        </w:rPr>
        <w:t>30</w:t>
      </w:r>
      <w:r>
        <w:rPr>
          <w:rFonts w:hint="eastAsia"/>
          <w:sz w:val="24"/>
        </w:rPr>
        <w:t>日前向秘书处提交建议以供进一步采取可能的行动，加强巴塞尔、鹿特丹和斯德哥尔摩公约之间的合作与协调，并请秘书处告知缔约方大会从即将在其下次会议各个相关议程项目之下审议的文件中收到的具体建议；</w:t>
      </w:r>
    </w:p>
    <w:p w:rsidR="00CF7497" w:rsidRPr="002444F1" w:rsidRDefault="002444F1" w:rsidP="002444F1">
      <w:pPr>
        <w:pStyle w:val="Normalnumber"/>
        <w:numPr>
          <w:ilvl w:val="0"/>
          <w:numId w:val="3"/>
        </w:numPr>
        <w:tabs>
          <w:tab w:val="left" w:pos="624"/>
        </w:tabs>
        <w:ind w:firstLine="624"/>
        <w:jc w:val="both"/>
        <w:rPr>
          <w:sz w:val="24"/>
        </w:rPr>
      </w:pPr>
      <w:r>
        <w:rPr>
          <w:rFonts w:eastAsia="楷体" w:hint="eastAsia"/>
          <w:sz w:val="24"/>
          <w:lang w:val="en-GB"/>
        </w:rPr>
        <w:t>请</w:t>
      </w:r>
      <w:r>
        <w:rPr>
          <w:rFonts w:hint="eastAsia"/>
          <w:sz w:val="24"/>
        </w:rPr>
        <w:t>秘书处在其关于实施相关决定的多份报告中纳入有关在加强合作与协调方面已取得进展的信息。</w:t>
      </w:r>
    </w:p>
    <w:sectPr w:rsidR="00CF7497" w:rsidRPr="002444F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C0DE7" w:rsidRDefault="009C0DE7" w:rsidP="002444F1">
      <w:r>
        <w:separator/>
      </w:r>
    </w:p>
  </w:endnote>
  <w:endnote w:type="continuationSeparator" w:id="0">
    <w:p w:rsidR="009C0DE7" w:rsidRDefault="009C0DE7" w:rsidP="002444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楷体">
    <w:altName w:val="Microsoft YaHei"/>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C0DE7" w:rsidRDefault="009C0DE7" w:rsidP="002444F1">
      <w:r>
        <w:separator/>
      </w:r>
    </w:p>
  </w:footnote>
  <w:footnote w:type="continuationSeparator" w:id="0">
    <w:p w:rsidR="009C0DE7" w:rsidRDefault="009C0DE7" w:rsidP="002444F1">
      <w:r>
        <w:continuationSeparator/>
      </w:r>
    </w:p>
  </w:footnote>
  <w:footnote w:id="1">
    <w:p w:rsidR="002444F1" w:rsidRDefault="002444F1" w:rsidP="002444F1">
      <w:pPr>
        <w:pStyle w:val="Normal-pool"/>
        <w:tabs>
          <w:tab w:val="left" w:pos="624"/>
        </w:tabs>
        <w:spacing w:before="20" w:after="40"/>
        <w:ind w:left="1247"/>
        <w:rPr>
          <w:sz w:val="20"/>
          <w:szCs w:val="20"/>
        </w:rPr>
      </w:pPr>
      <w:r>
        <w:rPr>
          <w:rStyle w:val="FootnoteReference"/>
          <w:rFonts w:eastAsiaTheme="majorEastAsia"/>
        </w:rPr>
        <w:footnoteRef/>
      </w:r>
      <w:r>
        <w:t xml:space="preserve"> UNEP/CHW.13/22/Add.1-UNEP/FAO/RC/COP.8/21/Add.1-UNEP/POPS/COP.8/25/Add.1</w:t>
      </w:r>
      <w:r>
        <w:rPr>
          <w:rFonts w:hint="eastAsia"/>
        </w:rPr>
        <w:t>。</w:t>
      </w:r>
    </w:p>
  </w:footnote>
  <w:footnote w:id="2">
    <w:p w:rsidR="002444F1" w:rsidRDefault="002444F1" w:rsidP="002444F1">
      <w:pPr>
        <w:pStyle w:val="Normal-pool"/>
        <w:tabs>
          <w:tab w:val="left" w:pos="624"/>
        </w:tabs>
        <w:spacing w:before="20" w:after="40"/>
        <w:ind w:left="1247"/>
      </w:pPr>
      <w:r>
        <w:rPr>
          <w:rStyle w:val="FootnoteReference"/>
          <w:rFonts w:eastAsiaTheme="majorEastAsia"/>
        </w:rPr>
        <w:footnoteRef/>
      </w:r>
      <w:r>
        <w:t xml:space="preserve"> UNEP/CHW.13/INF/43-UNEP/FAO/RC/COP.8/INF/29-UNEP/POPS/COP.8/INF/46</w:t>
      </w:r>
      <w:r>
        <w:rPr>
          <w:rFonts w:hint="eastAsia"/>
        </w:rPr>
        <w:t>，附件。</w:t>
      </w:r>
    </w:p>
  </w:footnote>
  <w:footnote w:id="3">
    <w:p w:rsidR="002444F1" w:rsidRDefault="002444F1" w:rsidP="002444F1">
      <w:pPr>
        <w:pStyle w:val="Normal-pool"/>
        <w:tabs>
          <w:tab w:val="left" w:pos="624"/>
        </w:tabs>
        <w:spacing w:before="20" w:after="40"/>
        <w:ind w:left="1247"/>
      </w:pPr>
      <w:r>
        <w:rPr>
          <w:rStyle w:val="FootnoteReference"/>
          <w:rFonts w:eastAsiaTheme="majorEastAsia"/>
        </w:rPr>
        <w:footnoteRef/>
      </w:r>
      <w:r>
        <w:t xml:space="preserve"> UNEP/CHW.13/INF/44-UNEP/FAO/RC/COP.8/INF/30-UNEP/POPS/COP.8/INF/47</w:t>
      </w:r>
      <w:r>
        <w:rPr>
          <w:rFonts w:hint="eastAsia"/>
        </w:rPr>
        <w:t>，附件。</w:t>
      </w:r>
    </w:p>
  </w:footnote>
  <w:footnote w:id="4">
    <w:p w:rsidR="002444F1" w:rsidRDefault="002444F1" w:rsidP="002444F1">
      <w:pPr>
        <w:pStyle w:val="Normal-pool"/>
        <w:tabs>
          <w:tab w:val="left" w:pos="624"/>
        </w:tabs>
        <w:spacing w:before="20" w:after="40"/>
        <w:ind w:left="1247"/>
      </w:pPr>
      <w:r>
        <w:rPr>
          <w:rStyle w:val="FootnoteReference"/>
          <w:rFonts w:eastAsiaTheme="majorEastAsia"/>
        </w:rPr>
        <w:footnoteRef/>
      </w:r>
      <w:r>
        <w:t xml:space="preserve"> UNEP/CHW.13/INF/45-UNEP/FAO/RC/COP.8/INF/31-UNEP/POPS/COP.8/INF/48</w:t>
      </w:r>
      <w:r>
        <w:rPr>
          <w:rFonts w:hint="eastAsia"/>
        </w:rPr>
        <w:t>，附件。</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1113A7"/>
    <w:multiLevelType w:val="multilevel"/>
    <w:tmpl w:val="48241D10"/>
    <w:lvl w:ilvl="0">
      <w:start w:val="1"/>
      <w:numFmt w:val="decimal"/>
      <w:lvlText w:val="%1."/>
      <w:lvlJc w:val="left"/>
      <w:pPr>
        <w:tabs>
          <w:tab w:val="num" w:pos="567"/>
        </w:tabs>
        <w:ind w:left="1247" w:firstLine="0"/>
      </w:pPr>
    </w:lvl>
    <w:lvl w:ilvl="1">
      <w:start w:val="1"/>
      <w:numFmt w:val="lowerLetter"/>
      <w:lvlText w:val="(%2)"/>
      <w:lvlJc w:val="left"/>
      <w:pPr>
        <w:tabs>
          <w:tab w:val="num" w:pos="567"/>
        </w:tabs>
        <w:ind w:left="1247" w:firstLine="567"/>
      </w:pPr>
    </w:lvl>
    <w:lvl w:ilvl="2">
      <w:start w:val="1"/>
      <w:numFmt w:val="lowerRoman"/>
      <w:lvlText w:val="(%3)"/>
      <w:lvlJc w:val="left"/>
      <w:pPr>
        <w:tabs>
          <w:tab w:val="num" w:pos="567"/>
        </w:tabs>
        <w:ind w:left="2948" w:hanging="567"/>
      </w:pPr>
    </w:lvl>
    <w:lvl w:ilvl="3">
      <w:start w:val="1"/>
      <w:numFmt w:val="lowerLetter"/>
      <w:lvlText w:val="%4."/>
      <w:lvlJc w:val="left"/>
      <w:pPr>
        <w:tabs>
          <w:tab w:val="num" w:pos="567"/>
        </w:tabs>
        <w:ind w:left="3515" w:hanging="567"/>
      </w:pPr>
    </w:lvl>
    <w:lvl w:ilvl="4">
      <w:start w:val="1"/>
      <w:numFmt w:val="lowerLetter"/>
      <w:lvlText w:val="%5."/>
      <w:lvlJc w:val="left"/>
      <w:pPr>
        <w:tabs>
          <w:tab w:val="num" w:pos="6548"/>
        </w:tabs>
        <w:ind w:left="6548" w:hanging="360"/>
      </w:pPr>
    </w:lvl>
    <w:lvl w:ilvl="5">
      <w:start w:val="1"/>
      <w:numFmt w:val="lowerRoman"/>
      <w:lvlText w:val="%6."/>
      <w:lvlJc w:val="right"/>
      <w:pPr>
        <w:tabs>
          <w:tab w:val="num" w:pos="7268"/>
        </w:tabs>
        <w:ind w:left="7268" w:hanging="180"/>
      </w:pPr>
    </w:lvl>
    <w:lvl w:ilvl="6">
      <w:start w:val="1"/>
      <w:numFmt w:val="decimal"/>
      <w:lvlText w:val="%7."/>
      <w:lvlJc w:val="left"/>
      <w:pPr>
        <w:tabs>
          <w:tab w:val="num" w:pos="7988"/>
        </w:tabs>
        <w:ind w:left="7988" w:hanging="360"/>
      </w:pPr>
    </w:lvl>
    <w:lvl w:ilvl="7">
      <w:start w:val="1"/>
      <w:numFmt w:val="lowerLetter"/>
      <w:lvlText w:val="%8."/>
      <w:lvlJc w:val="left"/>
      <w:pPr>
        <w:tabs>
          <w:tab w:val="num" w:pos="8708"/>
        </w:tabs>
        <w:ind w:left="8708" w:hanging="360"/>
      </w:pPr>
    </w:lvl>
    <w:lvl w:ilvl="8">
      <w:start w:val="1"/>
      <w:numFmt w:val="lowerRoman"/>
      <w:lvlText w:val="%9."/>
      <w:lvlJc w:val="right"/>
      <w:pPr>
        <w:tabs>
          <w:tab w:val="num" w:pos="9428"/>
        </w:tabs>
        <w:ind w:left="9428" w:hanging="180"/>
      </w:pPr>
    </w:lvl>
  </w:abstractNum>
  <w:abstractNum w:abstractNumId="1" w15:restartNumberingAfterBreak="0">
    <w:nsid w:val="52A66A9D"/>
    <w:multiLevelType w:val="multilevel"/>
    <w:tmpl w:val="20A6C20C"/>
    <w:styleLink w:val="Normallist"/>
    <w:lvl w:ilvl="0">
      <w:start w:val="1"/>
      <w:numFmt w:val="decimal"/>
      <w:pStyle w:val="Normalnumber"/>
      <w:lvlText w:val="%1."/>
      <w:lvlJc w:val="left"/>
      <w:pPr>
        <w:tabs>
          <w:tab w:val="num" w:pos="1134"/>
        </w:tabs>
        <w:ind w:left="1247" w:firstLine="0"/>
      </w:pPr>
    </w:lvl>
    <w:lvl w:ilvl="1">
      <w:start w:val="1"/>
      <w:numFmt w:val="lowerLetter"/>
      <w:lvlText w:val="(%2)"/>
      <w:lvlJc w:val="left"/>
      <w:pPr>
        <w:tabs>
          <w:tab w:val="num" w:pos="1134"/>
        </w:tabs>
        <w:ind w:left="1247" w:firstLine="567"/>
      </w:pPr>
    </w:lvl>
    <w:lvl w:ilvl="2">
      <w:start w:val="1"/>
      <w:numFmt w:val="lowerRoman"/>
      <w:lvlText w:val="(%3)"/>
      <w:lvlJc w:val="left"/>
      <w:pPr>
        <w:tabs>
          <w:tab w:val="num" w:pos="1134"/>
        </w:tabs>
        <w:ind w:left="2948" w:hanging="567"/>
      </w:pPr>
    </w:lvl>
    <w:lvl w:ilvl="3">
      <w:start w:val="1"/>
      <w:numFmt w:val="lowerLetter"/>
      <w:lvlText w:val="%4."/>
      <w:lvlJc w:val="left"/>
      <w:pPr>
        <w:tabs>
          <w:tab w:val="num" w:pos="1134"/>
        </w:tabs>
        <w:ind w:left="3515" w:hanging="567"/>
      </w:pPr>
    </w:lvl>
    <w:lvl w:ilvl="4">
      <w:start w:val="1"/>
      <w:numFmt w:val="lowerRoman"/>
      <w:lvlText w:val="%5."/>
      <w:lvlJc w:val="left"/>
      <w:pPr>
        <w:tabs>
          <w:tab w:val="num" w:pos="1134"/>
        </w:tabs>
        <w:ind w:left="4082" w:hanging="567"/>
      </w:pPr>
    </w:lvl>
    <w:lvl w:ilvl="5">
      <w:start w:val="1"/>
      <w:numFmt w:val="lowerRoman"/>
      <w:lvlText w:val="%6."/>
      <w:lvlJc w:val="right"/>
      <w:pPr>
        <w:tabs>
          <w:tab w:val="num" w:pos="7835"/>
        </w:tabs>
        <w:ind w:left="7835" w:hanging="180"/>
      </w:pPr>
    </w:lvl>
    <w:lvl w:ilvl="6">
      <w:start w:val="1"/>
      <w:numFmt w:val="decimal"/>
      <w:lvlText w:val="%7."/>
      <w:lvlJc w:val="left"/>
      <w:pPr>
        <w:tabs>
          <w:tab w:val="num" w:pos="8555"/>
        </w:tabs>
        <w:ind w:left="8555" w:hanging="360"/>
      </w:pPr>
    </w:lvl>
    <w:lvl w:ilvl="7">
      <w:start w:val="1"/>
      <w:numFmt w:val="lowerLetter"/>
      <w:lvlText w:val="%8."/>
      <w:lvlJc w:val="left"/>
      <w:pPr>
        <w:tabs>
          <w:tab w:val="num" w:pos="9275"/>
        </w:tabs>
        <w:ind w:left="9275" w:hanging="360"/>
      </w:pPr>
    </w:lvl>
    <w:lvl w:ilvl="8">
      <w:start w:val="1"/>
      <w:numFmt w:val="lowerRoman"/>
      <w:lvlText w:val="%9."/>
      <w:lvlJc w:val="right"/>
      <w:pPr>
        <w:tabs>
          <w:tab w:val="num" w:pos="9995"/>
        </w:tabs>
        <w:ind w:left="9995"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 w:ilvl="0">
        <w:start w:val="1"/>
        <w:numFmt w:val="decimal"/>
        <w:lvlText w:val="%1."/>
        <w:lvlJc w:val="left"/>
        <w:pPr>
          <w:tabs>
            <w:tab w:val="num" w:pos="567"/>
          </w:tabs>
          <w:ind w:left="1247" w:firstLine="0"/>
        </w:pPr>
      </w:lvl>
    </w:lvlOverride>
    <w:lvlOverride w:ilvl="1">
      <w:lvl w:ilvl="1">
        <w:start w:val="1"/>
        <w:numFmt w:val="lowerLetter"/>
        <w:lvlText w:val="(%2)"/>
        <w:lvlJc w:val="left"/>
        <w:pPr>
          <w:tabs>
            <w:tab w:val="num" w:pos="567"/>
          </w:tabs>
          <w:ind w:left="1247" w:firstLine="567"/>
        </w:pPr>
      </w:lvl>
    </w:lvlOverride>
    <w:lvlOverride w:ilvl="2">
      <w:lvl w:ilvl="2">
        <w:start w:val="1"/>
        <w:numFmt w:val="lowerRoman"/>
        <w:lvlText w:val="(%3)"/>
        <w:lvlJc w:val="left"/>
        <w:pPr>
          <w:tabs>
            <w:tab w:val="num" w:pos="567"/>
          </w:tabs>
          <w:ind w:left="2948" w:hanging="567"/>
        </w:pPr>
      </w:lvl>
    </w:lvlOverride>
    <w:lvlOverride w:ilvl="3">
      <w:lvl w:ilvl="3">
        <w:start w:val="1"/>
        <w:numFmt w:val="lowerLetter"/>
        <w:lvlText w:val="%4."/>
        <w:lvlJc w:val="left"/>
        <w:pPr>
          <w:tabs>
            <w:tab w:val="num" w:pos="567"/>
          </w:tabs>
          <w:ind w:left="3515" w:hanging="567"/>
        </w:pPr>
      </w:lvl>
    </w:lvlOverride>
    <w:lvlOverride w:ilvl="4">
      <w:lvl w:ilvl="4">
        <w:start w:val="1"/>
        <w:numFmt w:val="lowerLetter"/>
        <w:lvlText w:val="%5."/>
        <w:lvlJc w:val="left"/>
        <w:pPr>
          <w:tabs>
            <w:tab w:val="num" w:pos="6548"/>
          </w:tabs>
          <w:ind w:left="6548" w:hanging="360"/>
        </w:pPr>
      </w:lvl>
    </w:lvlOverride>
    <w:lvlOverride w:ilvl="5">
      <w:lvl w:ilvl="5">
        <w:start w:val="1"/>
        <w:numFmt w:val="lowerRoman"/>
        <w:lvlText w:val="%6."/>
        <w:lvlJc w:val="right"/>
        <w:pPr>
          <w:tabs>
            <w:tab w:val="num" w:pos="7268"/>
          </w:tabs>
          <w:ind w:left="7268" w:hanging="180"/>
        </w:pPr>
      </w:lvl>
    </w:lvlOverride>
    <w:lvlOverride w:ilvl="6">
      <w:lvl w:ilvl="6">
        <w:start w:val="1"/>
        <w:numFmt w:val="decimal"/>
        <w:lvlText w:val="%7."/>
        <w:lvlJc w:val="left"/>
        <w:pPr>
          <w:tabs>
            <w:tab w:val="num" w:pos="7988"/>
          </w:tabs>
          <w:ind w:left="7988" w:hanging="360"/>
        </w:pPr>
      </w:lvl>
    </w:lvlOverride>
    <w:lvlOverride w:ilvl="7">
      <w:lvl w:ilvl="7">
        <w:start w:val="1"/>
        <w:numFmt w:val="lowerLetter"/>
        <w:lvlText w:val="%8."/>
        <w:lvlJc w:val="left"/>
        <w:pPr>
          <w:tabs>
            <w:tab w:val="num" w:pos="8708"/>
          </w:tabs>
          <w:ind w:left="8708" w:hanging="360"/>
        </w:pPr>
      </w:lvl>
    </w:lvlOverride>
    <w:lvlOverride w:ilvl="8">
      <w:lvl w:ilvl="8">
        <w:start w:val="1"/>
        <w:numFmt w:val="lowerRoman"/>
        <w:lvlText w:val="%9."/>
        <w:lvlJc w:val="right"/>
        <w:pPr>
          <w:tabs>
            <w:tab w:val="num" w:pos="9428"/>
          </w:tabs>
          <w:ind w:left="9428" w:hanging="18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44F1"/>
    <w:rsid w:val="002444F1"/>
    <w:rsid w:val="00304CF0"/>
    <w:rsid w:val="009C0DE7"/>
    <w:rsid w:val="009D258D"/>
    <w:rsid w:val="00C873CC"/>
    <w:rsid w:val="00CF74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DBB08D"/>
  <w15:chartTrackingRefBased/>
  <w15:docId w15:val="{9EDC40FB-75E5-4D36-A1FB-D5362D2D70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444F1"/>
    <w:pPr>
      <w:spacing w:after="0" w:line="240" w:lineRule="auto"/>
    </w:pPr>
    <w:rPr>
      <w:rFonts w:ascii="Times New Roman" w:eastAsia="SimSun" w:hAnsi="Times New Roman" w:cs="Times New Roman"/>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poolChar">
    <w:name w:val="Normal-pool Char"/>
    <w:link w:val="Normal-pool"/>
    <w:locked/>
    <w:rsid w:val="002444F1"/>
    <w:rPr>
      <w:lang w:val="en-GB"/>
    </w:rPr>
  </w:style>
  <w:style w:type="paragraph" w:customStyle="1" w:styleId="Normal-pool">
    <w:name w:val="Normal-pool"/>
    <w:link w:val="Normal-poolChar"/>
    <w:rsid w:val="002444F1"/>
    <w:pPr>
      <w:tabs>
        <w:tab w:val="left" w:pos="1247"/>
        <w:tab w:val="left" w:pos="1814"/>
        <w:tab w:val="left" w:pos="2381"/>
        <w:tab w:val="left" w:pos="2948"/>
        <w:tab w:val="left" w:pos="3515"/>
        <w:tab w:val="left" w:pos="4082"/>
      </w:tabs>
      <w:spacing w:after="0" w:line="240" w:lineRule="auto"/>
    </w:pPr>
    <w:rPr>
      <w:lang w:val="en-GB"/>
    </w:rPr>
  </w:style>
  <w:style w:type="character" w:customStyle="1" w:styleId="NormalNonumberChar">
    <w:name w:val="Normal_No_number Char"/>
    <w:link w:val="NormalNonumber"/>
    <w:locked/>
    <w:rsid w:val="002444F1"/>
    <w:rPr>
      <w:lang w:val="en-GB"/>
    </w:rPr>
  </w:style>
  <w:style w:type="paragraph" w:customStyle="1" w:styleId="NormalNonumber">
    <w:name w:val="Normal_No_number"/>
    <w:basedOn w:val="Normal"/>
    <w:link w:val="NormalNonumberChar"/>
    <w:rsid w:val="002444F1"/>
    <w:pPr>
      <w:tabs>
        <w:tab w:val="left" w:pos="1247"/>
        <w:tab w:val="left" w:pos="1814"/>
        <w:tab w:val="left" w:pos="2381"/>
        <w:tab w:val="left" w:pos="2948"/>
        <w:tab w:val="left" w:pos="3515"/>
        <w:tab w:val="left" w:pos="4082"/>
      </w:tabs>
      <w:spacing w:after="120"/>
      <w:ind w:left="1247"/>
    </w:pPr>
    <w:rPr>
      <w:rFonts w:asciiTheme="minorHAnsi" w:eastAsiaTheme="minorEastAsia" w:hAnsiTheme="minorHAnsi" w:cstheme="minorBidi"/>
      <w:szCs w:val="22"/>
    </w:rPr>
  </w:style>
  <w:style w:type="character" w:customStyle="1" w:styleId="NormalnumberChar">
    <w:name w:val="Normal_number Char"/>
    <w:link w:val="Normalnumber"/>
    <w:qFormat/>
    <w:locked/>
    <w:rsid w:val="002444F1"/>
    <w:rPr>
      <w:lang w:val="fr-FR"/>
    </w:rPr>
  </w:style>
  <w:style w:type="paragraph" w:customStyle="1" w:styleId="Normalnumber">
    <w:name w:val="Normal_number"/>
    <w:basedOn w:val="Normal"/>
    <w:link w:val="NormalnumberChar"/>
    <w:qFormat/>
    <w:rsid w:val="002444F1"/>
    <w:pPr>
      <w:numPr>
        <w:numId w:val="1"/>
      </w:numPr>
      <w:tabs>
        <w:tab w:val="left" w:pos="1247"/>
        <w:tab w:val="left" w:pos="1814"/>
        <w:tab w:val="left" w:pos="2381"/>
        <w:tab w:val="left" w:pos="2948"/>
        <w:tab w:val="left" w:pos="3515"/>
        <w:tab w:val="left" w:pos="4082"/>
      </w:tabs>
      <w:spacing w:after="120"/>
    </w:pPr>
    <w:rPr>
      <w:rFonts w:asciiTheme="minorHAnsi" w:eastAsiaTheme="minorEastAsia" w:hAnsiTheme="minorHAnsi" w:cstheme="minorBidi"/>
      <w:szCs w:val="22"/>
      <w:lang w:val="fr-FR"/>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
    <w:semiHidden/>
    <w:unhideWhenUsed/>
    <w:rsid w:val="002444F1"/>
    <w:rPr>
      <w:rFonts w:ascii="Times New Roman" w:eastAsia="SimSun" w:hAnsi="Times New Roman" w:cs="Times New Roman" w:hint="default"/>
      <w:color w:val="auto"/>
      <w:sz w:val="20"/>
      <w:szCs w:val="18"/>
      <w:vertAlign w:val="superscript"/>
    </w:rPr>
  </w:style>
  <w:style w:type="numbering" w:customStyle="1" w:styleId="Normallist">
    <w:name w:val="Normal_list"/>
    <w:rsid w:val="002444F1"/>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11659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108</Words>
  <Characters>618</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1</cp:revision>
  <dcterms:created xsi:type="dcterms:W3CDTF">2018-01-29T13:46:00Z</dcterms:created>
  <dcterms:modified xsi:type="dcterms:W3CDTF">2018-01-29T13:48:00Z</dcterms:modified>
</cp:coreProperties>
</file>