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09B0" w:rsidRPr="00B31B12" w:rsidRDefault="003B09B0" w:rsidP="003B09B0">
      <w:pPr>
        <w:pStyle w:val="Normal-pool"/>
        <w:tabs>
          <w:tab w:val="clear" w:pos="1247"/>
          <w:tab w:val="clear" w:pos="1814"/>
          <w:tab w:val="clear" w:pos="2381"/>
          <w:tab w:val="clear" w:pos="2948"/>
          <w:tab w:val="clear" w:pos="3515"/>
          <w:tab w:val="left" w:pos="624"/>
        </w:tabs>
        <w:spacing w:after="120"/>
        <w:ind w:left="1276"/>
        <w:rPr>
          <w:b/>
          <w:sz w:val="28"/>
          <w:szCs w:val="28"/>
        </w:rPr>
      </w:pPr>
      <w:r w:rsidRPr="00B31B12">
        <w:rPr>
          <w:b/>
          <w:sz w:val="28"/>
          <w:szCs w:val="28"/>
        </w:rPr>
        <w:t>RC-8/11: Enhancing cooperation and coordination among the Basel, Rotterdam and Stockholm conventions</w:t>
      </w:r>
    </w:p>
    <w:p w:rsidR="003B09B0" w:rsidRPr="00B31B12" w:rsidRDefault="003B09B0" w:rsidP="003B09B0">
      <w:pPr>
        <w:tabs>
          <w:tab w:val="left" w:pos="624"/>
        </w:tabs>
        <w:spacing w:after="120"/>
        <w:ind w:left="1247" w:firstLine="624"/>
        <w:outlineLvl w:val="0"/>
        <w:rPr>
          <w:i/>
          <w:sz w:val="20"/>
        </w:rPr>
      </w:pPr>
      <w:r w:rsidRPr="00B31B12">
        <w:rPr>
          <w:i/>
          <w:sz w:val="20"/>
        </w:rPr>
        <w:t>The Conference of the Parties,</w:t>
      </w:r>
    </w:p>
    <w:p w:rsidR="003B09B0" w:rsidRPr="00B31B12" w:rsidRDefault="003B09B0" w:rsidP="003B09B0">
      <w:pPr>
        <w:pStyle w:val="NormalNonumber"/>
        <w:tabs>
          <w:tab w:val="left" w:pos="624"/>
        </w:tabs>
        <w:ind w:firstLine="624"/>
      </w:pPr>
      <w:r w:rsidRPr="00B31B12">
        <w:rPr>
          <w:i/>
        </w:rPr>
        <w:t>Mindful</w:t>
      </w:r>
      <w:r w:rsidRPr="00B31B12">
        <w:t xml:space="preserve"> of the legal autonomy of, respectively, the Basel Convention on the Control of Transboundary Movements of Hazardous Wastes and Their Disposal, the Rotterdam Convention on the Prior Informed Consent Procedure for Certain Hazardous Chemicals and Pesticides in International Trade and the Stockholm Convention on Persistent Organic Pollutants,</w:t>
      </w:r>
    </w:p>
    <w:p w:rsidR="003B09B0" w:rsidRPr="00B31B12" w:rsidRDefault="003B09B0" w:rsidP="003B09B0">
      <w:pPr>
        <w:pStyle w:val="NormalNonumber"/>
        <w:tabs>
          <w:tab w:val="left" w:pos="624"/>
        </w:tabs>
        <w:ind w:firstLine="624"/>
      </w:pPr>
      <w:r w:rsidRPr="00B31B12">
        <w:rPr>
          <w:i/>
        </w:rPr>
        <w:t xml:space="preserve">Reaffirming </w:t>
      </w:r>
      <w:r w:rsidRPr="00B31B12">
        <w:t>that actions taken to enhance coordination and cooperation should be aimed at strengthening the implementation of the three conventions at the national, regional and global levels, promoting coherent policy guidance and enhancing efficiency in the provision of support to Parties with a view to reducing their administrative burden and maximizing the effective and efficient use of resources at all levels, taking into account national-level activities, circumstances and priorities, as appropriate,</w:t>
      </w:r>
    </w:p>
    <w:p w:rsidR="003B09B0" w:rsidRPr="00B31B12" w:rsidRDefault="003B09B0" w:rsidP="003B09B0">
      <w:pPr>
        <w:pStyle w:val="NormalNonumber"/>
        <w:tabs>
          <w:tab w:val="left" w:pos="624"/>
        </w:tabs>
        <w:ind w:firstLine="624"/>
      </w:pPr>
      <w:r w:rsidRPr="00B31B12">
        <w:rPr>
          <w:i/>
        </w:rPr>
        <w:t xml:space="preserve">Mindful </w:t>
      </w:r>
      <w:r w:rsidRPr="00B31B12">
        <w:t>that</w:t>
      </w:r>
      <w:r w:rsidRPr="00B31B12">
        <w:rPr>
          <w:i/>
        </w:rPr>
        <w:t xml:space="preserve"> </w:t>
      </w:r>
      <w:r w:rsidRPr="00B31B12">
        <w:t>several of the follow-up actions to the recommendations presented in the reports on the reviews called for in decisions BC-12/20, RC-7/10 and SC</w:t>
      </w:r>
      <w:r w:rsidRPr="00B31B12">
        <w:noBreakHyphen/>
        <w:t>7/28</w:t>
      </w:r>
      <w:r w:rsidRPr="00B31B12">
        <w:rPr>
          <w:vertAlign w:val="superscript"/>
        </w:rPr>
        <w:footnoteReference w:id="1"/>
      </w:r>
      <w:r w:rsidRPr="00B31B12">
        <w:t xml:space="preserve"> are addressed in decisions adopted by the conferences of the Parties at their 2017 meetings,</w:t>
      </w:r>
    </w:p>
    <w:p w:rsidR="003B09B0" w:rsidRPr="00B31B12" w:rsidRDefault="003B09B0" w:rsidP="003B09B0">
      <w:pPr>
        <w:pStyle w:val="Normalnumber"/>
        <w:numPr>
          <w:ilvl w:val="0"/>
          <w:numId w:val="3"/>
        </w:numPr>
        <w:tabs>
          <w:tab w:val="clear" w:pos="1247"/>
          <w:tab w:val="clear" w:pos="1814"/>
          <w:tab w:val="clear" w:pos="2381"/>
          <w:tab w:val="clear" w:pos="2948"/>
          <w:tab w:val="clear" w:pos="3515"/>
          <w:tab w:val="clear" w:pos="4082"/>
          <w:tab w:val="left" w:pos="624"/>
          <w:tab w:val="left" w:pos="2340"/>
        </w:tabs>
        <w:ind w:firstLine="624"/>
        <w:rPr>
          <w:rFonts w:ascii="Times New Roman" w:hAnsi="Times New Roman" w:cs="Times New Roman"/>
          <w:sz w:val="20"/>
          <w:szCs w:val="20"/>
          <w:lang w:val="en-GB"/>
        </w:rPr>
      </w:pPr>
      <w:r w:rsidRPr="00B31B12">
        <w:rPr>
          <w:rFonts w:ascii="Times New Roman" w:hAnsi="Times New Roman" w:cs="Times New Roman"/>
          <w:i/>
          <w:sz w:val="20"/>
          <w:szCs w:val="20"/>
          <w:lang w:val="en-GB"/>
        </w:rPr>
        <w:t xml:space="preserve">Welcomes </w:t>
      </w:r>
      <w:r w:rsidRPr="00B31B12">
        <w:rPr>
          <w:rFonts w:ascii="Times New Roman" w:hAnsi="Times New Roman" w:cs="Times New Roman"/>
          <w:sz w:val="20"/>
          <w:szCs w:val="20"/>
          <w:lang w:val="en-GB"/>
        </w:rPr>
        <w:t>the report on the further review of the synergies arrangements;</w:t>
      </w:r>
      <w:r w:rsidRPr="00B31B12">
        <w:rPr>
          <w:rFonts w:ascii="Times New Roman" w:hAnsi="Times New Roman" w:cs="Times New Roman"/>
          <w:sz w:val="20"/>
          <w:szCs w:val="20"/>
          <w:vertAlign w:val="superscript"/>
          <w:lang w:val="en-GB"/>
        </w:rPr>
        <w:footnoteReference w:id="2"/>
      </w:r>
    </w:p>
    <w:p w:rsidR="003B09B0" w:rsidRPr="00B31B12" w:rsidRDefault="003B09B0" w:rsidP="003B09B0">
      <w:pPr>
        <w:pStyle w:val="Normalnumber"/>
        <w:numPr>
          <w:ilvl w:val="0"/>
          <w:numId w:val="2"/>
        </w:numPr>
        <w:tabs>
          <w:tab w:val="clear" w:pos="4082"/>
          <w:tab w:val="left" w:pos="624"/>
        </w:tabs>
        <w:ind w:firstLine="624"/>
        <w:rPr>
          <w:rFonts w:ascii="Times New Roman" w:hAnsi="Times New Roman" w:cs="Times New Roman"/>
          <w:sz w:val="20"/>
          <w:szCs w:val="20"/>
          <w:lang w:val="en-GB"/>
        </w:rPr>
      </w:pPr>
      <w:r w:rsidRPr="00B31B12">
        <w:rPr>
          <w:rFonts w:ascii="Times New Roman" w:hAnsi="Times New Roman" w:cs="Times New Roman"/>
          <w:i/>
          <w:sz w:val="20"/>
          <w:szCs w:val="20"/>
          <w:lang w:val="en-GB"/>
        </w:rPr>
        <w:t xml:space="preserve">Also welcomes </w:t>
      </w:r>
      <w:r w:rsidRPr="00B31B12">
        <w:rPr>
          <w:rFonts w:ascii="Times New Roman" w:hAnsi="Times New Roman" w:cs="Times New Roman"/>
          <w:sz w:val="20"/>
          <w:szCs w:val="20"/>
          <w:lang w:val="en-GB"/>
        </w:rPr>
        <w:t>the report on the review of the matrix-based management approach and organization</w:t>
      </w:r>
      <w:r w:rsidRPr="00B31B12">
        <w:rPr>
          <w:rFonts w:ascii="Times New Roman" w:hAnsi="Times New Roman" w:cs="Times New Roman"/>
          <w:sz w:val="20"/>
          <w:szCs w:val="20"/>
          <w:vertAlign w:val="superscript"/>
          <w:lang w:val="en-GB"/>
        </w:rPr>
        <w:footnoteReference w:id="3"/>
      </w:r>
      <w:r w:rsidRPr="00B31B12">
        <w:rPr>
          <w:rFonts w:ascii="Times New Roman" w:hAnsi="Times New Roman" w:cs="Times New Roman"/>
          <w:sz w:val="20"/>
          <w:szCs w:val="20"/>
          <w:lang w:val="en-GB"/>
        </w:rPr>
        <w:t xml:space="preserve"> undertaken by the Executive Director in consultation with the Director General of the Food and Agriculture Organization of the United Nations;</w:t>
      </w:r>
    </w:p>
    <w:p w:rsidR="003B09B0" w:rsidRPr="00B31B12" w:rsidRDefault="003B09B0" w:rsidP="003B09B0">
      <w:pPr>
        <w:pStyle w:val="Normalnumber"/>
        <w:numPr>
          <w:ilvl w:val="0"/>
          <w:numId w:val="2"/>
        </w:numPr>
        <w:tabs>
          <w:tab w:val="clear" w:pos="4082"/>
          <w:tab w:val="left" w:pos="624"/>
        </w:tabs>
        <w:ind w:firstLine="624"/>
        <w:rPr>
          <w:rFonts w:ascii="Times New Roman" w:hAnsi="Times New Roman" w:cs="Times New Roman"/>
          <w:sz w:val="20"/>
          <w:szCs w:val="20"/>
          <w:lang w:val="en-GB"/>
        </w:rPr>
      </w:pPr>
      <w:r w:rsidRPr="00B31B12">
        <w:rPr>
          <w:rFonts w:ascii="Times New Roman" w:hAnsi="Times New Roman" w:cs="Times New Roman"/>
          <w:i/>
          <w:sz w:val="20"/>
          <w:szCs w:val="20"/>
          <w:lang w:val="en-GB"/>
        </w:rPr>
        <w:t>Further welcomes</w:t>
      </w:r>
      <w:r w:rsidRPr="00B31B12">
        <w:rPr>
          <w:rFonts w:ascii="Times New Roman" w:hAnsi="Times New Roman" w:cs="Times New Roman"/>
          <w:sz w:val="20"/>
          <w:szCs w:val="20"/>
          <w:lang w:val="en-GB"/>
        </w:rPr>
        <w:t xml:space="preserve"> the</w:t>
      </w:r>
      <w:r w:rsidRPr="00B31B12">
        <w:rPr>
          <w:rFonts w:ascii="Times New Roman" w:hAnsi="Times New Roman" w:cs="Times New Roman"/>
          <w:i/>
          <w:sz w:val="20"/>
          <w:szCs w:val="20"/>
          <w:lang w:val="en-GB"/>
        </w:rPr>
        <w:t xml:space="preserve"> </w:t>
      </w:r>
      <w:r w:rsidRPr="00B31B12">
        <w:rPr>
          <w:rFonts w:ascii="Times New Roman" w:hAnsi="Times New Roman" w:cs="Times New Roman"/>
          <w:sz w:val="20"/>
          <w:szCs w:val="20"/>
          <w:lang w:val="en-GB"/>
        </w:rPr>
        <w:t>report on the review of the proposals to enhance synergies arrangements set out in the note by the Secretariat on the organization and operation of the part of the Rotterdam Convention Secretariat hosted by the Food and Agriculture Organization of the United Nations;</w:t>
      </w:r>
      <w:r w:rsidRPr="00B31B12">
        <w:rPr>
          <w:rFonts w:ascii="Times New Roman" w:hAnsi="Times New Roman" w:cs="Times New Roman"/>
          <w:sz w:val="20"/>
          <w:szCs w:val="20"/>
          <w:vertAlign w:val="superscript"/>
          <w:lang w:val="en-GB"/>
        </w:rPr>
        <w:footnoteReference w:id="4"/>
      </w:r>
    </w:p>
    <w:p w:rsidR="003B09B0" w:rsidRPr="00B31B12" w:rsidRDefault="003B09B0" w:rsidP="003B09B0">
      <w:pPr>
        <w:pStyle w:val="Normalnumber"/>
        <w:numPr>
          <w:ilvl w:val="0"/>
          <w:numId w:val="2"/>
        </w:numPr>
        <w:tabs>
          <w:tab w:val="clear" w:pos="4082"/>
          <w:tab w:val="left" w:pos="624"/>
        </w:tabs>
        <w:ind w:firstLine="624"/>
        <w:rPr>
          <w:rFonts w:ascii="Times New Roman" w:hAnsi="Times New Roman" w:cs="Times New Roman"/>
          <w:iCs/>
          <w:sz w:val="20"/>
          <w:szCs w:val="20"/>
          <w:lang w:val="en-GB"/>
        </w:rPr>
      </w:pPr>
      <w:r w:rsidRPr="00B31B12">
        <w:rPr>
          <w:rFonts w:ascii="Times New Roman" w:hAnsi="Times New Roman" w:cs="Times New Roman"/>
          <w:i/>
          <w:iCs/>
          <w:sz w:val="20"/>
          <w:szCs w:val="20"/>
          <w:lang w:val="en-GB"/>
        </w:rPr>
        <w:t xml:space="preserve">Requests </w:t>
      </w:r>
      <w:r w:rsidRPr="00B31B12">
        <w:rPr>
          <w:rFonts w:ascii="Times New Roman" w:hAnsi="Times New Roman" w:cs="Times New Roman"/>
          <w:iCs/>
          <w:sz w:val="20"/>
          <w:szCs w:val="20"/>
          <w:lang w:val="en-GB"/>
        </w:rPr>
        <w:t xml:space="preserve">the Secretariat to continue to seek </w:t>
      </w:r>
      <w:r w:rsidRPr="00B31B12">
        <w:rPr>
          <w:rFonts w:ascii="Times New Roman" w:hAnsi="Times New Roman" w:cs="Times New Roman"/>
          <w:sz w:val="20"/>
          <w:szCs w:val="20"/>
          <w:lang w:val="en-GB"/>
        </w:rPr>
        <w:t>opportunities</w:t>
      </w:r>
      <w:r w:rsidRPr="00B31B12">
        <w:rPr>
          <w:rFonts w:ascii="Times New Roman" w:hAnsi="Times New Roman" w:cs="Times New Roman"/>
          <w:iCs/>
          <w:sz w:val="20"/>
          <w:szCs w:val="20"/>
          <w:lang w:val="en-GB"/>
        </w:rPr>
        <w:t xml:space="preserve"> for enhanced coordination and cooperation among the Basel, Rotterdam and Stockholm conventions in order to ensure policy coherence and enhance efficiency with a view to reducing the administrative burden and maximizing the effective and efficient use of resources at all levels;</w:t>
      </w:r>
    </w:p>
    <w:p w:rsidR="003B09B0" w:rsidRPr="00B31B12" w:rsidRDefault="003B09B0" w:rsidP="003B09B0">
      <w:pPr>
        <w:pStyle w:val="Normalnumber"/>
        <w:numPr>
          <w:ilvl w:val="0"/>
          <w:numId w:val="2"/>
        </w:numPr>
        <w:tabs>
          <w:tab w:val="clear" w:pos="4082"/>
          <w:tab w:val="left" w:pos="624"/>
        </w:tabs>
        <w:ind w:firstLine="624"/>
        <w:rPr>
          <w:rFonts w:ascii="Times New Roman" w:hAnsi="Times New Roman" w:cs="Times New Roman"/>
          <w:iCs/>
          <w:sz w:val="20"/>
          <w:szCs w:val="20"/>
          <w:lang w:val="en-GB"/>
        </w:rPr>
      </w:pPr>
      <w:r w:rsidRPr="00B31B12">
        <w:rPr>
          <w:rFonts w:ascii="Times New Roman" w:hAnsi="Times New Roman" w:cs="Times New Roman"/>
          <w:i/>
          <w:sz w:val="20"/>
          <w:szCs w:val="20"/>
          <w:lang w:val="en-GB"/>
        </w:rPr>
        <w:t xml:space="preserve">Invites </w:t>
      </w:r>
      <w:r w:rsidRPr="00B31B12">
        <w:rPr>
          <w:rFonts w:ascii="Times New Roman" w:hAnsi="Times New Roman" w:cs="Times New Roman"/>
          <w:sz w:val="20"/>
          <w:szCs w:val="20"/>
          <w:lang w:val="en-GB"/>
        </w:rPr>
        <w:t xml:space="preserve">Parties to submit to the Secretariat, by 30 June 2018, suggestions for possible further action to enhance cooperation and coordination among the Basel, Rotterdam and Stockholm conventions and requests the Secretariat to inform the Conference of the Parties about the specific </w:t>
      </w:r>
      <w:r w:rsidRPr="00B31B12">
        <w:rPr>
          <w:rFonts w:ascii="Times New Roman" w:hAnsi="Times New Roman" w:cs="Times New Roman"/>
          <w:iCs/>
          <w:sz w:val="20"/>
          <w:szCs w:val="20"/>
          <w:lang w:val="en-GB"/>
        </w:rPr>
        <w:t>suggestions</w:t>
      </w:r>
      <w:r w:rsidRPr="00B31B12">
        <w:rPr>
          <w:rFonts w:ascii="Times New Roman" w:hAnsi="Times New Roman" w:cs="Times New Roman"/>
          <w:sz w:val="20"/>
          <w:szCs w:val="20"/>
          <w:lang w:val="en-GB"/>
        </w:rPr>
        <w:t xml:space="preserve"> received in the docu</w:t>
      </w:r>
      <w:bookmarkStart w:id="0" w:name="_GoBack"/>
      <w:bookmarkEnd w:id="0"/>
      <w:r w:rsidRPr="00B31B12">
        <w:rPr>
          <w:rFonts w:ascii="Times New Roman" w:hAnsi="Times New Roman" w:cs="Times New Roman"/>
          <w:sz w:val="20"/>
          <w:szCs w:val="20"/>
          <w:lang w:val="en-GB"/>
        </w:rPr>
        <w:t>ments to be considered under each relevant agenda item for its next meeting;</w:t>
      </w:r>
    </w:p>
    <w:p w:rsidR="003B09B0" w:rsidRPr="00B31B12" w:rsidRDefault="003B09B0" w:rsidP="003B09B0">
      <w:pPr>
        <w:pStyle w:val="Normalnumber"/>
        <w:numPr>
          <w:ilvl w:val="0"/>
          <w:numId w:val="2"/>
        </w:numPr>
        <w:tabs>
          <w:tab w:val="clear" w:pos="4082"/>
          <w:tab w:val="left" w:pos="624"/>
        </w:tabs>
        <w:ind w:firstLine="624"/>
        <w:rPr>
          <w:rFonts w:ascii="Times New Roman" w:hAnsi="Times New Roman" w:cs="Times New Roman"/>
          <w:sz w:val="20"/>
          <w:szCs w:val="20"/>
          <w:lang w:val="en-GB"/>
        </w:rPr>
      </w:pPr>
      <w:r w:rsidRPr="00B31B12">
        <w:rPr>
          <w:rFonts w:ascii="Times New Roman" w:hAnsi="Times New Roman" w:cs="Times New Roman"/>
          <w:i/>
          <w:sz w:val="20"/>
          <w:szCs w:val="20"/>
          <w:lang w:val="en-GB"/>
        </w:rPr>
        <w:t>Requests</w:t>
      </w:r>
      <w:r w:rsidRPr="00B31B12">
        <w:rPr>
          <w:rFonts w:ascii="Times New Roman" w:hAnsi="Times New Roman" w:cs="Times New Roman"/>
          <w:sz w:val="20"/>
          <w:szCs w:val="20"/>
          <w:lang w:val="en-GB"/>
        </w:rPr>
        <w:t xml:space="preserve"> the Secretariat to include information on progress achieved in enhancing cooperation and coordination in its reports on the implementation of relevant decisions</w:t>
      </w:r>
      <w:r w:rsidRPr="00B31B12">
        <w:rPr>
          <w:rFonts w:ascii="Times New Roman" w:hAnsi="Times New Roman" w:cs="Times New Roman"/>
          <w:iCs/>
          <w:sz w:val="20"/>
          <w:szCs w:val="20"/>
          <w:lang w:val="en-GB"/>
        </w:rPr>
        <w:t>.</w:t>
      </w:r>
    </w:p>
    <w:p w:rsidR="00C2226D" w:rsidRPr="00B31B12" w:rsidRDefault="00C2226D">
      <w:pPr>
        <w:rPr>
          <w:sz w:val="20"/>
        </w:rPr>
      </w:pPr>
    </w:p>
    <w:sectPr w:rsidR="00C2226D" w:rsidRPr="00B31B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5990" w:rsidRDefault="004D5990" w:rsidP="003B09B0">
      <w:r>
        <w:separator/>
      </w:r>
    </w:p>
  </w:endnote>
  <w:endnote w:type="continuationSeparator" w:id="0">
    <w:p w:rsidR="004D5990" w:rsidRDefault="004D5990" w:rsidP="003B09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5990" w:rsidRDefault="004D5990" w:rsidP="003B09B0">
      <w:r>
        <w:separator/>
      </w:r>
    </w:p>
  </w:footnote>
  <w:footnote w:type="continuationSeparator" w:id="0">
    <w:p w:rsidR="004D5990" w:rsidRDefault="004D5990" w:rsidP="003B09B0">
      <w:r>
        <w:continuationSeparator/>
      </w:r>
    </w:p>
  </w:footnote>
  <w:footnote w:id="1">
    <w:p w:rsidR="003B09B0" w:rsidRPr="00197687" w:rsidRDefault="003B09B0" w:rsidP="003B09B0">
      <w:pPr>
        <w:pStyle w:val="Normal-pool"/>
        <w:tabs>
          <w:tab w:val="left" w:pos="624"/>
        </w:tabs>
        <w:spacing w:before="20" w:after="40"/>
        <w:ind w:left="1247"/>
        <w:rPr>
          <w:sz w:val="18"/>
          <w:szCs w:val="18"/>
        </w:rPr>
      </w:pPr>
      <w:r w:rsidRPr="00197687">
        <w:rPr>
          <w:rStyle w:val="FootnoteReference"/>
          <w:rFonts w:eastAsiaTheme="majorEastAsia"/>
          <w:sz w:val="18"/>
        </w:rPr>
        <w:footnoteRef/>
      </w:r>
      <w:r w:rsidRPr="00197687">
        <w:rPr>
          <w:sz w:val="18"/>
          <w:szCs w:val="18"/>
        </w:rPr>
        <w:t xml:space="preserve"> UNEP/CHW.13/22/Add.1-UNEP/FAO/RC/COP.8/21/Add.1-UNEP/POPS/COP.8/25/Add.1.</w:t>
      </w:r>
    </w:p>
  </w:footnote>
  <w:footnote w:id="2">
    <w:p w:rsidR="003B09B0" w:rsidRPr="00197687" w:rsidRDefault="003B09B0" w:rsidP="003B09B0">
      <w:pPr>
        <w:pStyle w:val="Normal-pool"/>
        <w:tabs>
          <w:tab w:val="left" w:pos="624"/>
        </w:tabs>
        <w:spacing w:before="20" w:after="40"/>
        <w:ind w:left="1247"/>
        <w:rPr>
          <w:sz w:val="18"/>
          <w:szCs w:val="18"/>
        </w:rPr>
      </w:pPr>
      <w:r w:rsidRPr="00197687">
        <w:rPr>
          <w:rStyle w:val="FootnoteReference"/>
          <w:rFonts w:eastAsiaTheme="majorEastAsia"/>
          <w:sz w:val="18"/>
        </w:rPr>
        <w:footnoteRef/>
      </w:r>
      <w:r w:rsidRPr="00197687">
        <w:rPr>
          <w:sz w:val="18"/>
          <w:szCs w:val="18"/>
        </w:rPr>
        <w:t xml:space="preserve"> </w:t>
      </w:r>
      <w:proofErr w:type="gramStart"/>
      <w:r w:rsidRPr="00197687">
        <w:rPr>
          <w:sz w:val="18"/>
          <w:szCs w:val="18"/>
        </w:rPr>
        <w:t>UNEP/CHW.13/INF/43-UNEP/FAO/RC/COP.8/INF/29-UNEP/POPS/COP.8/INF/46, annex.</w:t>
      </w:r>
      <w:proofErr w:type="gramEnd"/>
    </w:p>
  </w:footnote>
  <w:footnote w:id="3">
    <w:p w:rsidR="003B09B0" w:rsidRPr="00197687" w:rsidRDefault="003B09B0" w:rsidP="003B09B0">
      <w:pPr>
        <w:pStyle w:val="Normal-pool"/>
        <w:tabs>
          <w:tab w:val="left" w:pos="624"/>
        </w:tabs>
        <w:spacing w:before="20" w:after="40"/>
        <w:ind w:left="1247"/>
        <w:rPr>
          <w:sz w:val="18"/>
          <w:szCs w:val="18"/>
        </w:rPr>
      </w:pPr>
      <w:r w:rsidRPr="00197687">
        <w:rPr>
          <w:rStyle w:val="FootnoteReference"/>
          <w:rFonts w:eastAsiaTheme="majorEastAsia"/>
          <w:sz w:val="18"/>
        </w:rPr>
        <w:footnoteRef/>
      </w:r>
      <w:r w:rsidRPr="00197687">
        <w:rPr>
          <w:sz w:val="18"/>
          <w:szCs w:val="18"/>
        </w:rPr>
        <w:t xml:space="preserve"> </w:t>
      </w:r>
      <w:proofErr w:type="gramStart"/>
      <w:r w:rsidRPr="00197687">
        <w:rPr>
          <w:sz w:val="18"/>
          <w:szCs w:val="18"/>
        </w:rPr>
        <w:t>UNEP/CHW.13/INF/44-UNEP/FAO/RC/COP.8/INF/30-UNEP/POPS/COP.8/INF/47, annex.</w:t>
      </w:r>
      <w:proofErr w:type="gramEnd"/>
    </w:p>
  </w:footnote>
  <w:footnote w:id="4">
    <w:p w:rsidR="003B09B0" w:rsidRPr="00197687" w:rsidRDefault="003B09B0" w:rsidP="003B09B0">
      <w:pPr>
        <w:pStyle w:val="Normal-pool"/>
        <w:tabs>
          <w:tab w:val="left" w:pos="624"/>
        </w:tabs>
        <w:spacing w:before="20" w:after="40"/>
        <w:ind w:left="1247"/>
        <w:rPr>
          <w:sz w:val="18"/>
          <w:szCs w:val="18"/>
        </w:rPr>
      </w:pPr>
      <w:r w:rsidRPr="00197687">
        <w:rPr>
          <w:rStyle w:val="FootnoteReference"/>
          <w:rFonts w:eastAsiaTheme="majorEastAsia"/>
          <w:sz w:val="18"/>
        </w:rPr>
        <w:footnoteRef/>
      </w:r>
      <w:r w:rsidRPr="00197687">
        <w:rPr>
          <w:sz w:val="18"/>
          <w:szCs w:val="18"/>
        </w:rPr>
        <w:t xml:space="preserve"> </w:t>
      </w:r>
      <w:proofErr w:type="gramStart"/>
      <w:r w:rsidRPr="00197687">
        <w:rPr>
          <w:sz w:val="18"/>
          <w:szCs w:val="18"/>
        </w:rPr>
        <w:t>UNEP/CHW.13/INF/45-UNEP/FAO/RC/COP.8/INF/31-UNEP/POPS/COP.8/INF/48, annex.</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1113A7"/>
    <w:multiLevelType w:val="multilevel"/>
    <w:tmpl w:val="48241D10"/>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1">
    <w:nsid w:val="52A66A9D"/>
    <w:multiLevelType w:val="multilevel"/>
    <w:tmpl w:val="9DFC749A"/>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num w:numId="1">
    <w:abstractNumId w:val="1"/>
  </w:num>
  <w:num w:numId="2">
    <w:abstractNumId w:val="0"/>
    <w:lvlOverride w:ilvl="0">
      <w:lvl w:ilvl="0">
        <w:start w:val="1"/>
        <w:numFmt w:val="decimal"/>
        <w:lvlText w:val="%1."/>
        <w:lvlJc w:val="left"/>
        <w:pPr>
          <w:tabs>
            <w:tab w:val="num" w:pos="567"/>
          </w:tabs>
          <w:ind w:left="1247" w:firstLine="0"/>
        </w:pPr>
      </w:lvl>
    </w:lvlOverride>
    <w:lvlOverride w:ilvl="1">
      <w:lvl w:ilvl="1">
        <w:start w:val="1"/>
        <w:numFmt w:val="lowerLetter"/>
        <w:lvlText w:val="(%2)"/>
        <w:lvlJc w:val="left"/>
        <w:pPr>
          <w:tabs>
            <w:tab w:val="num" w:pos="567"/>
          </w:tabs>
          <w:ind w:left="1247" w:firstLine="567"/>
        </w:pPr>
      </w:lvl>
    </w:lvlOverride>
    <w:lvlOverride w:ilvl="2">
      <w:lvl w:ilvl="2">
        <w:start w:val="1"/>
        <w:numFmt w:val="lowerRoman"/>
        <w:lvlText w:val="(%3)"/>
        <w:lvlJc w:val="left"/>
        <w:pPr>
          <w:tabs>
            <w:tab w:val="num" w:pos="567"/>
          </w:tabs>
          <w:ind w:left="2948" w:hanging="567"/>
        </w:pPr>
      </w:lvl>
    </w:lvlOverride>
    <w:lvlOverride w:ilvl="3">
      <w:lvl w:ilvl="3">
        <w:start w:val="1"/>
        <w:numFmt w:val="lowerLetter"/>
        <w:lvlText w:val="%4."/>
        <w:lvlJc w:val="left"/>
        <w:pPr>
          <w:tabs>
            <w:tab w:val="num" w:pos="567"/>
          </w:tabs>
          <w:ind w:left="3515" w:hanging="567"/>
        </w:pPr>
      </w:lvl>
    </w:lvlOverride>
    <w:lvlOverride w:ilvl="4">
      <w:lvl w:ilvl="4">
        <w:start w:val="1"/>
        <w:numFmt w:val="lowerLetter"/>
        <w:lvlText w:val="%5."/>
        <w:lvlJc w:val="left"/>
        <w:pPr>
          <w:tabs>
            <w:tab w:val="num" w:pos="6548"/>
          </w:tabs>
          <w:ind w:left="6548" w:hanging="360"/>
        </w:pPr>
      </w:lvl>
    </w:lvlOverride>
    <w:lvlOverride w:ilvl="5">
      <w:lvl w:ilvl="5">
        <w:start w:val="1"/>
        <w:numFmt w:val="lowerRoman"/>
        <w:lvlText w:val="%6."/>
        <w:lvlJc w:val="right"/>
        <w:pPr>
          <w:tabs>
            <w:tab w:val="num" w:pos="7268"/>
          </w:tabs>
          <w:ind w:left="7268" w:hanging="180"/>
        </w:pPr>
      </w:lvl>
    </w:lvlOverride>
    <w:lvlOverride w:ilvl="6">
      <w:lvl w:ilvl="6">
        <w:start w:val="1"/>
        <w:numFmt w:val="decimal"/>
        <w:lvlText w:val="%7."/>
        <w:lvlJc w:val="left"/>
        <w:pPr>
          <w:tabs>
            <w:tab w:val="num" w:pos="7988"/>
          </w:tabs>
          <w:ind w:left="7988" w:hanging="360"/>
        </w:pPr>
      </w:lvl>
    </w:lvlOverride>
    <w:lvlOverride w:ilvl="7">
      <w:lvl w:ilvl="7">
        <w:start w:val="1"/>
        <w:numFmt w:val="lowerLetter"/>
        <w:lvlText w:val="%8."/>
        <w:lvlJc w:val="left"/>
        <w:pPr>
          <w:tabs>
            <w:tab w:val="num" w:pos="8708"/>
          </w:tabs>
          <w:ind w:left="8708" w:hanging="360"/>
        </w:pPr>
      </w:lvl>
    </w:lvlOverride>
    <w:lvlOverride w:ilvl="8">
      <w:lvl w:ilvl="8">
        <w:start w:val="1"/>
        <w:numFmt w:val="lowerRoman"/>
        <w:lvlText w:val="%9."/>
        <w:lvlJc w:val="right"/>
        <w:pPr>
          <w:tabs>
            <w:tab w:val="num" w:pos="9428"/>
          </w:tabs>
          <w:ind w:left="9428" w:hanging="180"/>
        </w:pPr>
      </w:lvl>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09B0"/>
    <w:rsid w:val="003B09B0"/>
    <w:rsid w:val="004D5990"/>
    <w:rsid w:val="00727039"/>
    <w:rsid w:val="00B31B12"/>
    <w:rsid w:val="00C2226D"/>
    <w:rsid w:val="00F152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09B0"/>
    <w:pPr>
      <w:spacing w:after="0" w:line="240" w:lineRule="auto"/>
    </w:pPr>
    <w:rPr>
      <w:rFonts w:ascii="Times New Roman" w:eastAsia="Times New Roman" w:hAnsi="Times New Roman" w:cs="Times New Roman"/>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pool">
    <w:name w:val="Normal-pool"/>
    <w:link w:val="Normal-poolChar"/>
    <w:rsid w:val="003B09B0"/>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en-GB"/>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
    <w:uiPriority w:val="99"/>
    <w:rsid w:val="003B09B0"/>
    <w:rPr>
      <w:rFonts w:ascii="Times New Roman" w:hAnsi="Times New Roman"/>
      <w:color w:val="auto"/>
      <w:sz w:val="20"/>
      <w:szCs w:val="18"/>
      <w:vertAlign w:val="superscript"/>
    </w:rPr>
  </w:style>
  <w:style w:type="character" w:customStyle="1" w:styleId="NormalnumberChar">
    <w:name w:val="Normal_number Char"/>
    <w:link w:val="Normalnumber"/>
    <w:locked/>
    <w:rsid w:val="003B09B0"/>
    <w:rPr>
      <w:lang w:val="fr-FR"/>
    </w:rPr>
  </w:style>
  <w:style w:type="numbering" w:customStyle="1" w:styleId="Normallist">
    <w:name w:val="Normal_list"/>
    <w:basedOn w:val="NoList"/>
    <w:rsid w:val="003B09B0"/>
    <w:pPr>
      <w:numPr>
        <w:numId w:val="1"/>
      </w:numPr>
    </w:pPr>
  </w:style>
  <w:style w:type="paragraph" w:customStyle="1" w:styleId="NormalNonumber">
    <w:name w:val="Normal_No_number"/>
    <w:basedOn w:val="Normal"/>
    <w:link w:val="NormalNonumberChar"/>
    <w:rsid w:val="003B09B0"/>
    <w:pPr>
      <w:tabs>
        <w:tab w:val="left" w:pos="1247"/>
        <w:tab w:val="left" w:pos="1814"/>
        <w:tab w:val="left" w:pos="2381"/>
        <w:tab w:val="left" w:pos="2948"/>
        <w:tab w:val="left" w:pos="3515"/>
        <w:tab w:val="left" w:pos="4082"/>
      </w:tabs>
      <w:spacing w:after="120"/>
      <w:ind w:left="1247"/>
    </w:pPr>
    <w:rPr>
      <w:sz w:val="20"/>
    </w:rPr>
  </w:style>
  <w:style w:type="paragraph" w:customStyle="1" w:styleId="Normalnumber">
    <w:name w:val="Normal_number"/>
    <w:basedOn w:val="Normal"/>
    <w:link w:val="NormalnumberChar"/>
    <w:rsid w:val="003B09B0"/>
    <w:pPr>
      <w:numPr>
        <w:numId w:val="1"/>
      </w:numPr>
      <w:tabs>
        <w:tab w:val="left" w:pos="1247"/>
        <w:tab w:val="left" w:pos="1814"/>
        <w:tab w:val="left" w:pos="2381"/>
        <w:tab w:val="left" w:pos="2948"/>
        <w:tab w:val="left" w:pos="3515"/>
        <w:tab w:val="left" w:pos="4082"/>
      </w:tabs>
      <w:spacing w:after="120"/>
    </w:pPr>
    <w:rPr>
      <w:rFonts w:asciiTheme="minorHAnsi" w:eastAsiaTheme="minorHAnsi" w:hAnsiTheme="minorHAnsi" w:cstheme="minorBidi"/>
      <w:szCs w:val="22"/>
      <w:lang w:val="fr-FR"/>
    </w:rPr>
  </w:style>
  <w:style w:type="character" w:customStyle="1" w:styleId="Normal-poolChar">
    <w:name w:val="Normal-pool Char"/>
    <w:link w:val="Normal-pool"/>
    <w:rsid w:val="003B09B0"/>
    <w:rPr>
      <w:rFonts w:ascii="Times New Roman" w:eastAsia="Times New Roman" w:hAnsi="Times New Roman" w:cs="Times New Roman"/>
      <w:sz w:val="20"/>
      <w:szCs w:val="20"/>
      <w:lang w:val="en-GB"/>
    </w:rPr>
  </w:style>
  <w:style w:type="character" w:customStyle="1" w:styleId="NormalNonumberChar">
    <w:name w:val="Normal_No_number Char"/>
    <w:link w:val="NormalNonumber"/>
    <w:locked/>
    <w:rsid w:val="003B09B0"/>
    <w:rPr>
      <w:rFonts w:ascii="Times New Roman" w:eastAsia="Times New Roman" w:hAnsi="Times New Roman" w:cs="Times New Roman"/>
      <w:sz w:val="20"/>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09B0"/>
    <w:pPr>
      <w:spacing w:after="0" w:line="240" w:lineRule="auto"/>
    </w:pPr>
    <w:rPr>
      <w:rFonts w:ascii="Times New Roman" w:eastAsia="Times New Roman" w:hAnsi="Times New Roman" w:cs="Times New Roman"/>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pool">
    <w:name w:val="Normal-pool"/>
    <w:link w:val="Normal-poolChar"/>
    <w:rsid w:val="003B09B0"/>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en-GB"/>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
    <w:uiPriority w:val="99"/>
    <w:rsid w:val="003B09B0"/>
    <w:rPr>
      <w:rFonts w:ascii="Times New Roman" w:hAnsi="Times New Roman"/>
      <w:color w:val="auto"/>
      <w:sz w:val="20"/>
      <w:szCs w:val="18"/>
      <w:vertAlign w:val="superscript"/>
    </w:rPr>
  </w:style>
  <w:style w:type="character" w:customStyle="1" w:styleId="NormalnumberChar">
    <w:name w:val="Normal_number Char"/>
    <w:link w:val="Normalnumber"/>
    <w:locked/>
    <w:rsid w:val="003B09B0"/>
    <w:rPr>
      <w:lang w:val="fr-FR"/>
    </w:rPr>
  </w:style>
  <w:style w:type="numbering" w:customStyle="1" w:styleId="Normallist">
    <w:name w:val="Normal_list"/>
    <w:basedOn w:val="NoList"/>
    <w:rsid w:val="003B09B0"/>
    <w:pPr>
      <w:numPr>
        <w:numId w:val="1"/>
      </w:numPr>
    </w:pPr>
  </w:style>
  <w:style w:type="paragraph" w:customStyle="1" w:styleId="NormalNonumber">
    <w:name w:val="Normal_No_number"/>
    <w:basedOn w:val="Normal"/>
    <w:link w:val="NormalNonumberChar"/>
    <w:rsid w:val="003B09B0"/>
    <w:pPr>
      <w:tabs>
        <w:tab w:val="left" w:pos="1247"/>
        <w:tab w:val="left" w:pos="1814"/>
        <w:tab w:val="left" w:pos="2381"/>
        <w:tab w:val="left" w:pos="2948"/>
        <w:tab w:val="left" w:pos="3515"/>
        <w:tab w:val="left" w:pos="4082"/>
      </w:tabs>
      <w:spacing w:after="120"/>
      <w:ind w:left="1247"/>
    </w:pPr>
    <w:rPr>
      <w:sz w:val="20"/>
    </w:rPr>
  </w:style>
  <w:style w:type="paragraph" w:customStyle="1" w:styleId="Normalnumber">
    <w:name w:val="Normal_number"/>
    <w:basedOn w:val="Normal"/>
    <w:link w:val="NormalnumberChar"/>
    <w:rsid w:val="003B09B0"/>
    <w:pPr>
      <w:numPr>
        <w:numId w:val="1"/>
      </w:numPr>
      <w:tabs>
        <w:tab w:val="left" w:pos="1247"/>
        <w:tab w:val="left" w:pos="1814"/>
        <w:tab w:val="left" w:pos="2381"/>
        <w:tab w:val="left" w:pos="2948"/>
        <w:tab w:val="left" w:pos="3515"/>
        <w:tab w:val="left" w:pos="4082"/>
      </w:tabs>
      <w:spacing w:after="120"/>
    </w:pPr>
    <w:rPr>
      <w:rFonts w:asciiTheme="minorHAnsi" w:eastAsiaTheme="minorHAnsi" w:hAnsiTheme="minorHAnsi" w:cstheme="minorBidi"/>
      <w:szCs w:val="22"/>
      <w:lang w:val="fr-FR"/>
    </w:rPr>
  </w:style>
  <w:style w:type="character" w:customStyle="1" w:styleId="Normal-poolChar">
    <w:name w:val="Normal-pool Char"/>
    <w:link w:val="Normal-pool"/>
    <w:rsid w:val="003B09B0"/>
    <w:rPr>
      <w:rFonts w:ascii="Times New Roman" w:eastAsia="Times New Roman" w:hAnsi="Times New Roman" w:cs="Times New Roman"/>
      <w:sz w:val="20"/>
      <w:szCs w:val="20"/>
      <w:lang w:val="en-GB"/>
    </w:rPr>
  </w:style>
  <w:style w:type="character" w:customStyle="1" w:styleId="NormalNonumberChar">
    <w:name w:val="Normal_No_number Char"/>
    <w:link w:val="NormalNonumber"/>
    <w:locked/>
    <w:rsid w:val="003B09B0"/>
    <w:rPr>
      <w:rFonts w:ascii="Times New Roman" w:eastAsia="Times New Roman" w:hAnsi="Times New Roman" w:cs="Times New Roman"/>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411</Words>
  <Characters>2346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UNEP/BRS</Company>
  <LinksUpToDate>false</LinksUpToDate>
  <CharactersWithSpaces>2752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Khanh ngo</dc:creator>
  <cp:lastModifiedBy>Khanh ngo</cp:lastModifiedBy>
  <cp:revision>3</cp:revision>
  <cp:lastPrinted>2018-02-01T10:28:00Z</cp:lastPrinted>
  <dcterms:created xsi:type="dcterms:W3CDTF">2018-01-29T12:56:00Z</dcterms:created>
  <dcterms:modified xsi:type="dcterms:W3CDTF">2018-02-01T10:32:00Z</dcterms:modified>
</cp:coreProperties>
</file>