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FB2" w:rsidRPr="00CA1FB2" w:rsidRDefault="00CA1FB2" w:rsidP="00CA1FB2">
      <w:pPr>
        <w:tabs>
          <w:tab w:val="left" w:pos="624"/>
          <w:tab w:val="left" w:pos="4082"/>
        </w:tabs>
        <w:spacing w:after="120"/>
        <w:ind w:left="1276"/>
        <w:rPr>
          <w:b/>
          <w:sz w:val="28"/>
          <w:szCs w:val="28"/>
          <w:lang w:val="es-ES"/>
        </w:rPr>
      </w:pPr>
      <w:bookmarkStart w:id="0" w:name="_GoBack"/>
      <w:bookmarkEnd w:id="0"/>
      <w:r w:rsidRPr="00CA1FB2">
        <w:rPr>
          <w:b/>
          <w:sz w:val="28"/>
          <w:szCs w:val="28"/>
          <w:lang w:val="es-ES"/>
        </w:rPr>
        <w:t>RC</w:t>
      </w:r>
      <w:r w:rsidRPr="00CA1FB2">
        <w:rPr>
          <w:b/>
          <w:sz w:val="28"/>
          <w:szCs w:val="28"/>
          <w:lang w:val="es-ES"/>
        </w:rPr>
        <w:noBreakHyphen/>
        <w:t>8/11: Fomento de la cooperación y la coordinación entre los Convenios de Basilea, Estocolmo y Rotterdam</w:t>
      </w:r>
    </w:p>
    <w:p w:rsidR="00CA1FB2" w:rsidRPr="00CA1FB2" w:rsidRDefault="00CA1FB2" w:rsidP="00CA1FB2">
      <w:pPr>
        <w:tabs>
          <w:tab w:val="left" w:pos="624"/>
        </w:tabs>
        <w:spacing w:after="120"/>
        <w:ind w:left="1247" w:firstLine="624"/>
        <w:outlineLvl w:val="0"/>
        <w:rPr>
          <w:i/>
          <w:sz w:val="20"/>
          <w:lang w:val="es-ES"/>
        </w:rPr>
      </w:pPr>
      <w:r w:rsidRPr="00CA1FB2">
        <w:rPr>
          <w:i/>
          <w:iCs/>
          <w:sz w:val="20"/>
          <w:lang w:val="es-ES"/>
        </w:rPr>
        <w:t>La Conferencia de las Partes,</w:t>
      </w:r>
    </w:p>
    <w:p w:rsidR="00CA1FB2" w:rsidRPr="00CA1FB2" w:rsidRDefault="00CA1FB2" w:rsidP="00CA1FB2">
      <w:pPr>
        <w:tabs>
          <w:tab w:val="left" w:pos="624"/>
          <w:tab w:val="left" w:pos="1247"/>
          <w:tab w:val="left" w:pos="1814"/>
          <w:tab w:val="left" w:pos="2381"/>
          <w:tab w:val="left" w:pos="2948"/>
          <w:tab w:val="left" w:pos="3515"/>
          <w:tab w:val="left" w:pos="4082"/>
        </w:tabs>
        <w:spacing w:after="120"/>
        <w:ind w:left="1247" w:firstLine="624"/>
        <w:rPr>
          <w:sz w:val="20"/>
          <w:lang w:val="es-ES"/>
        </w:rPr>
      </w:pPr>
      <w:r w:rsidRPr="00CA1FB2">
        <w:rPr>
          <w:i/>
          <w:iCs/>
          <w:sz w:val="20"/>
          <w:lang w:val="es-ES"/>
        </w:rPr>
        <w:t>Teniendo presente</w:t>
      </w:r>
      <w:r w:rsidRPr="00CA1FB2">
        <w:rPr>
          <w:sz w:val="20"/>
          <w:lang w:val="es-ES"/>
        </w:rPr>
        <w:t xml:space="preserve"> la autonomía jurídica del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w:t>
      </w:r>
    </w:p>
    <w:p w:rsidR="00CA1FB2" w:rsidRPr="00CA1FB2" w:rsidRDefault="00CA1FB2" w:rsidP="00CA1FB2">
      <w:pPr>
        <w:tabs>
          <w:tab w:val="left" w:pos="624"/>
          <w:tab w:val="left" w:pos="1247"/>
          <w:tab w:val="left" w:pos="1814"/>
          <w:tab w:val="left" w:pos="2381"/>
          <w:tab w:val="left" w:pos="2948"/>
          <w:tab w:val="left" w:pos="3515"/>
          <w:tab w:val="left" w:pos="4082"/>
        </w:tabs>
        <w:spacing w:after="120"/>
        <w:ind w:left="1247" w:firstLine="624"/>
        <w:rPr>
          <w:sz w:val="20"/>
          <w:lang w:val="es-ES"/>
        </w:rPr>
      </w:pPr>
      <w:r w:rsidRPr="00CA1FB2">
        <w:rPr>
          <w:i/>
          <w:iCs/>
          <w:sz w:val="20"/>
          <w:lang w:val="es-ES"/>
        </w:rPr>
        <w:t>Reafirmando</w:t>
      </w:r>
      <w:r w:rsidRPr="00CA1FB2">
        <w:rPr>
          <w:sz w:val="20"/>
          <w:lang w:val="es-ES"/>
        </w:rPr>
        <w:t xml:space="preserve"> que las medidas adoptadas para fomentar la coordinación y la cooperación deberían encaminarse a fortalecer la aplicación de los tres Convenios en los planos nacional, regional y mundial, promover orientaciones coherentes en materia de políticas y aumentar la eficiencia en la prestación de apoyo a las Partes con miras a reducir su carga administrativa y hacer el uso más eficaz y eficiente posible de los recursos a todos los niveles, teniendo en cuenta las actividades, circunstancias y prioridades a nivel nacional, según proceda,</w:t>
      </w:r>
    </w:p>
    <w:p w:rsidR="00CA1FB2" w:rsidRPr="00CA1FB2" w:rsidRDefault="00CA1FB2" w:rsidP="00CA1FB2">
      <w:pPr>
        <w:tabs>
          <w:tab w:val="left" w:pos="624"/>
          <w:tab w:val="left" w:pos="1247"/>
          <w:tab w:val="left" w:pos="1814"/>
          <w:tab w:val="left" w:pos="2381"/>
          <w:tab w:val="left" w:pos="2948"/>
          <w:tab w:val="left" w:pos="3515"/>
          <w:tab w:val="left" w:pos="4082"/>
        </w:tabs>
        <w:spacing w:after="120"/>
        <w:ind w:left="1247" w:firstLine="624"/>
        <w:rPr>
          <w:sz w:val="20"/>
          <w:lang w:val="es-ES"/>
        </w:rPr>
      </w:pPr>
      <w:r w:rsidRPr="00CA1FB2">
        <w:rPr>
          <w:i/>
          <w:iCs/>
          <w:sz w:val="20"/>
          <w:lang w:val="es-ES"/>
        </w:rPr>
        <w:t>Teniendo presente</w:t>
      </w:r>
      <w:r w:rsidRPr="00CA1FB2">
        <w:rPr>
          <w:sz w:val="20"/>
          <w:lang w:val="es-ES"/>
        </w:rPr>
        <w:t xml:space="preserve"> que varias de las medidas de seguimiento de las recomendaciones presentadas en los informes sobre los exámenes solicitados en las decisiones BC</w:t>
      </w:r>
      <w:r w:rsidRPr="00CA1FB2">
        <w:rPr>
          <w:sz w:val="20"/>
          <w:lang w:val="es-ES"/>
        </w:rPr>
        <w:noBreakHyphen/>
        <w:t>12/20, SC</w:t>
      </w:r>
      <w:r w:rsidRPr="00CA1FB2">
        <w:rPr>
          <w:sz w:val="20"/>
          <w:lang w:val="es-ES"/>
        </w:rPr>
        <w:noBreakHyphen/>
        <w:t>7/28 y RC</w:t>
      </w:r>
      <w:r w:rsidRPr="00CA1FB2">
        <w:rPr>
          <w:sz w:val="20"/>
          <w:lang w:val="es-ES"/>
        </w:rPr>
        <w:noBreakHyphen/>
        <w:t xml:space="preserve">7/10 </w:t>
      </w:r>
      <w:r w:rsidRPr="00CA1FB2">
        <w:rPr>
          <w:sz w:val="20"/>
          <w:vertAlign w:val="superscript"/>
          <w:lang w:val="es-ES"/>
        </w:rPr>
        <w:footnoteReference w:id="1"/>
      </w:r>
      <w:r w:rsidRPr="00CA1FB2">
        <w:rPr>
          <w:sz w:val="20"/>
          <w:lang w:val="es-ES"/>
        </w:rPr>
        <w:t>se tratan en las decisiones adoptadas por las Conferencias de las Partes en sus reuniones de 2017,</w:t>
      </w:r>
    </w:p>
    <w:p w:rsidR="00CA1FB2" w:rsidRPr="00CA1FB2" w:rsidRDefault="00CA1FB2" w:rsidP="00CA1FB2">
      <w:pPr>
        <w:numPr>
          <w:ilvl w:val="0"/>
          <w:numId w:val="4"/>
        </w:numPr>
        <w:tabs>
          <w:tab w:val="left" w:pos="624"/>
          <w:tab w:val="left" w:pos="2340"/>
        </w:tabs>
        <w:spacing w:after="120"/>
        <w:ind w:firstLine="624"/>
        <w:rPr>
          <w:sz w:val="20"/>
          <w:lang w:val="fr-FR"/>
        </w:rPr>
      </w:pPr>
      <w:r w:rsidRPr="00CA1FB2">
        <w:rPr>
          <w:i/>
          <w:iCs/>
          <w:sz w:val="20"/>
          <w:lang w:val="es-ES"/>
        </w:rPr>
        <w:t>Acoge con satisfacción</w:t>
      </w:r>
      <w:r w:rsidRPr="00CA1FB2">
        <w:rPr>
          <w:sz w:val="20"/>
          <w:lang w:val="es-ES"/>
        </w:rPr>
        <w:t xml:space="preserve"> el informe sobre el nuevo examen de los arreglos sobre sinergias</w:t>
      </w:r>
      <w:r w:rsidRPr="00CA1FB2">
        <w:rPr>
          <w:sz w:val="20"/>
          <w:vertAlign w:val="superscript"/>
          <w:lang w:val="es-ES"/>
        </w:rPr>
        <w:footnoteReference w:id="2"/>
      </w:r>
      <w:r w:rsidRPr="00CA1FB2">
        <w:rPr>
          <w:sz w:val="20"/>
          <w:lang w:val="es-ES"/>
        </w:rPr>
        <w:t>;</w:t>
      </w:r>
    </w:p>
    <w:p w:rsidR="00CA1FB2" w:rsidRPr="00CA1FB2" w:rsidRDefault="00CA1FB2" w:rsidP="00CA1FB2">
      <w:pPr>
        <w:numPr>
          <w:ilvl w:val="0"/>
          <w:numId w:val="3"/>
        </w:numPr>
        <w:tabs>
          <w:tab w:val="left" w:pos="624"/>
          <w:tab w:val="left" w:pos="1247"/>
          <w:tab w:val="left" w:pos="1814"/>
          <w:tab w:val="left" w:pos="2381"/>
          <w:tab w:val="left" w:pos="2948"/>
          <w:tab w:val="left" w:pos="3515"/>
        </w:tabs>
        <w:spacing w:after="120"/>
        <w:ind w:firstLine="624"/>
        <w:rPr>
          <w:sz w:val="20"/>
          <w:lang w:val="fr-FR"/>
        </w:rPr>
      </w:pPr>
      <w:r w:rsidRPr="00CA1FB2">
        <w:rPr>
          <w:i/>
          <w:iCs/>
          <w:sz w:val="20"/>
          <w:lang w:val="es-ES"/>
        </w:rPr>
        <w:t>Acoge con satisfacción también</w:t>
      </w:r>
      <w:r w:rsidRPr="00CA1FB2">
        <w:rPr>
          <w:sz w:val="20"/>
          <w:lang w:val="es-ES"/>
        </w:rPr>
        <w:t xml:space="preserve"> el informe sobre el examen de la estructura administrativa matricial y la organización</w:t>
      </w:r>
      <w:r w:rsidRPr="00CA1FB2">
        <w:rPr>
          <w:sz w:val="20"/>
          <w:vertAlign w:val="superscript"/>
          <w:lang w:val="es-ES"/>
        </w:rPr>
        <w:footnoteReference w:id="3"/>
      </w:r>
      <w:r w:rsidRPr="00CA1FB2">
        <w:rPr>
          <w:sz w:val="20"/>
          <w:lang w:val="es-ES"/>
        </w:rPr>
        <w:t xml:space="preserve"> realizado por el Director Ejecutivo en consulta con el Director General de la Organización de las Naciones Unidas para la Alimentación y la Agricultura;</w:t>
      </w:r>
    </w:p>
    <w:p w:rsidR="00CA1FB2" w:rsidRPr="00CA1FB2" w:rsidRDefault="00CA1FB2" w:rsidP="00CA1FB2">
      <w:pPr>
        <w:numPr>
          <w:ilvl w:val="0"/>
          <w:numId w:val="3"/>
        </w:numPr>
        <w:tabs>
          <w:tab w:val="left" w:pos="624"/>
          <w:tab w:val="left" w:pos="1247"/>
          <w:tab w:val="left" w:pos="1814"/>
          <w:tab w:val="left" w:pos="2381"/>
          <w:tab w:val="left" w:pos="2948"/>
          <w:tab w:val="left" w:pos="3515"/>
        </w:tabs>
        <w:spacing w:after="120"/>
        <w:ind w:firstLine="624"/>
        <w:rPr>
          <w:sz w:val="20"/>
          <w:lang w:val="fr-FR"/>
        </w:rPr>
      </w:pPr>
      <w:r w:rsidRPr="00CA1FB2">
        <w:rPr>
          <w:i/>
          <w:iCs/>
          <w:sz w:val="20"/>
          <w:lang w:val="es-ES"/>
        </w:rPr>
        <w:t>Acoge con satisfacción además</w:t>
      </w:r>
      <w:r w:rsidRPr="00CA1FB2">
        <w:rPr>
          <w:sz w:val="20"/>
          <w:lang w:val="es-ES"/>
        </w:rPr>
        <w:t xml:space="preserve"> el informe sobre el examen de las propuestas para mejorar los arreglos sobre sinergias que figuran en la nota de la Secretaría relativa a la organización y el funcionamiento de la parte de la Secretaría del Convenio de Rotterdam que corresponde a la Organización de las Naciones Unidas para la Alimentación y la Agricultura</w:t>
      </w:r>
      <w:r w:rsidRPr="00CA1FB2">
        <w:rPr>
          <w:sz w:val="20"/>
          <w:vertAlign w:val="superscript"/>
          <w:lang w:val="es-ES"/>
        </w:rPr>
        <w:footnoteReference w:id="4"/>
      </w:r>
      <w:r w:rsidRPr="00CA1FB2">
        <w:rPr>
          <w:sz w:val="20"/>
          <w:lang w:val="es-ES"/>
        </w:rPr>
        <w:t>;</w:t>
      </w:r>
    </w:p>
    <w:p w:rsidR="00CA1FB2" w:rsidRPr="00CA1FB2" w:rsidRDefault="00CA1FB2" w:rsidP="00CA1FB2">
      <w:pPr>
        <w:numPr>
          <w:ilvl w:val="0"/>
          <w:numId w:val="3"/>
        </w:numPr>
        <w:tabs>
          <w:tab w:val="left" w:pos="624"/>
          <w:tab w:val="left" w:pos="1247"/>
          <w:tab w:val="left" w:pos="1814"/>
          <w:tab w:val="left" w:pos="2381"/>
          <w:tab w:val="left" w:pos="2948"/>
          <w:tab w:val="left" w:pos="3515"/>
        </w:tabs>
        <w:spacing w:after="120"/>
        <w:ind w:firstLine="624"/>
        <w:rPr>
          <w:iCs/>
          <w:sz w:val="20"/>
          <w:lang w:val="fr-FR"/>
        </w:rPr>
      </w:pPr>
      <w:r w:rsidRPr="00CA1FB2">
        <w:rPr>
          <w:i/>
          <w:iCs/>
          <w:sz w:val="20"/>
          <w:lang w:val="es-ES"/>
        </w:rPr>
        <w:t>Pide</w:t>
      </w:r>
      <w:r w:rsidRPr="00CA1FB2">
        <w:rPr>
          <w:sz w:val="20"/>
          <w:lang w:val="es-ES"/>
        </w:rPr>
        <w:t xml:space="preserve"> a la Secretaría que siga buscando oportunidades de fomentar la coordinación y la cooperación entre los Convenios de Basilea, Estocolmo y Rotterdam para garantizar la coherencia normativa y aumentar la eficiencia con vistas a reducir la carga administrativa y hacer el uso más eficaz y eficiente posible de los recursos a todos los niveles;</w:t>
      </w:r>
    </w:p>
    <w:p w:rsidR="00CA1FB2" w:rsidRPr="00CA1FB2" w:rsidRDefault="00CA1FB2" w:rsidP="00CA1FB2">
      <w:pPr>
        <w:numPr>
          <w:ilvl w:val="0"/>
          <w:numId w:val="3"/>
        </w:numPr>
        <w:tabs>
          <w:tab w:val="left" w:pos="624"/>
          <w:tab w:val="left" w:pos="1247"/>
          <w:tab w:val="left" w:pos="1814"/>
          <w:tab w:val="left" w:pos="2381"/>
          <w:tab w:val="left" w:pos="2948"/>
          <w:tab w:val="left" w:pos="3515"/>
        </w:tabs>
        <w:spacing w:after="120"/>
        <w:ind w:firstLine="624"/>
        <w:rPr>
          <w:iCs/>
          <w:sz w:val="20"/>
          <w:lang w:val="fr-FR"/>
        </w:rPr>
      </w:pPr>
      <w:r w:rsidRPr="00CA1FB2">
        <w:rPr>
          <w:i/>
          <w:iCs/>
          <w:sz w:val="20"/>
          <w:lang w:val="es-ES"/>
        </w:rPr>
        <w:t>Invita</w:t>
      </w:r>
      <w:r w:rsidRPr="00CA1FB2">
        <w:rPr>
          <w:sz w:val="20"/>
          <w:lang w:val="es-ES"/>
        </w:rPr>
        <w:t xml:space="preserve"> a las Partes a que propongan a la Secretaría, antes del 30 de junio de 2018, otras medidas que podrían adoptarse para fomentar la cooperación y la coordinación entre los Convenios de Basilea, Estocolmo y Rotterdam, y pide a la Secretaría que rinda informe a la Conferencia de las Partes acerca de las sugerencias específicas que haya recibido en los documentos que habrán de examinarse en relación con los temas pertinentes del programa en su próxima reunión;</w:t>
      </w:r>
    </w:p>
    <w:p w:rsidR="00CA1FB2" w:rsidRPr="00CA1FB2" w:rsidRDefault="00CA1FB2" w:rsidP="00CA1FB2">
      <w:pPr>
        <w:numPr>
          <w:ilvl w:val="0"/>
          <w:numId w:val="3"/>
        </w:numPr>
        <w:tabs>
          <w:tab w:val="left" w:pos="624"/>
          <w:tab w:val="left" w:pos="1247"/>
          <w:tab w:val="left" w:pos="1814"/>
          <w:tab w:val="left" w:pos="2381"/>
          <w:tab w:val="left" w:pos="2948"/>
          <w:tab w:val="left" w:pos="3515"/>
        </w:tabs>
        <w:spacing w:after="120"/>
        <w:ind w:firstLine="624"/>
        <w:rPr>
          <w:sz w:val="20"/>
          <w:lang w:val="fr-FR"/>
        </w:rPr>
      </w:pPr>
      <w:r w:rsidRPr="00CA1FB2">
        <w:rPr>
          <w:i/>
          <w:iCs/>
          <w:sz w:val="20"/>
          <w:lang w:val="es-ES"/>
        </w:rPr>
        <w:t>Solicita</w:t>
      </w:r>
      <w:r w:rsidRPr="00CA1FB2">
        <w:rPr>
          <w:sz w:val="20"/>
          <w:lang w:val="es-ES"/>
        </w:rPr>
        <w:t xml:space="preserve"> a la Secretaría que incluya información sobre los avances logrados en el fomento de la cooperación y la coordinación en los informes relativos a la aplicación de las decisiones pertinentes.</w:t>
      </w:r>
    </w:p>
    <w:p w:rsidR="0034514C" w:rsidRPr="00CA1FB2" w:rsidRDefault="0034514C" w:rsidP="00CA1FB2"/>
    <w:sectPr w:rsidR="0034514C" w:rsidRPr="00CA1FB2" w:rsidSect="00CB414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04A" w:rsidRDefault="0015304A" w:rsidP="00655877">
      <w:r>
        <w:separator/>
      </w:r>
    </w:p>
  </w:endnote>
  <w:endnote w:type="continuationSeparator" w:id="0">
    <w:p w:rsidR="0015304A" w:rsidRDefault="0015304A" w:rsidP="006558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04A" w:rsidRDefault="0015304A" w:rsidP="00655877">
      <w:r>
        <w:separator/>
      </w:r>
    </w:p>
  </w:footnote>
  <w:footnote w:type="continuationSeparator" w:id="0">
    <w:p w:rsidR="0015304A" w:rsidRDefault="0015304A" w:rsidP="00655877">
      <w:r>
        <w:continuationSeparator/>
      </w:r>
    </w:p>
  </w:footnote>
  <w:footnote w:id="1">
    <w:p w:rsidR="00CA1FB2" w:rsidRPr="00C40627" w:rsidRDefault="00CA1FB2" w:rsidP="00CA1FB2">
      <w:pPr>
        <w:pStyle w:val="Normal-pool"/>
        <w:tabs>
          <w:tab w:val="left" w:pos="624"/>
        </w:tabs>
        <w:spacing w:before="20" w:after="40"/>
        <w:ind w:left="1247"/>
        <w:rPr>
          <w:sz w:val="18"/>
          <w:szCs w:val="18"/>
          <w:lang w:val="es-ES"/>
        </w:rPr>
      </w:pPr>
      <w:r w:rsidRPr="00C40627">
        <w:rPr>
          <w:rStyle w:val="FootnoteReference"/>
          <w:rFonts w:eastAsiaTheme="majorEastAsia"/>
          <w:sz w:val="18"/>
          <w:lang w:val="es-ES"/>
        </w:rPr>
        <w:footnoteRef/>
      </w:r>
      <w:r w:rsidRPr="00C40627">
        <w:rPr>
          <w:sz w:val="18"/>
          <w:szCs w:val="18"/>
          <w:lang w:val="es-ES"/>
        </w:rPr>
        <w:t xml:space="preserve"> UNEP/CHW.13/22/Add.1-UNEP/FAO/RC/COP.8/21/Add.1-UNEP/POPS/COP.8/25/Add.1.</w:t>
      </w:r>
    </w:p>
  </w:footnote>
  <w:footnote w:id="2">
    <w:p w:rsidR="00CA1FB2" w:rsidRPr="00C40627" w:rsidRDefault="00CA1FB2" w:rsidP="00CA1FB2">
      <w:pPr>
        <w:pStyle w:val="Normal-pool"/>
        <w:tabs>
          <w:tab w:val="left" w:pos="624"/>
        </w:tabs>
        <w:spacing w:before="20" w:after="40"/>
        <w:ind w:left="1247"/>
        <w:rPr>
          <w:sz w:val="18"/>
          <w:szCs w:val="18"/>
          <w:lang w:val="es-ES"/>
        </w:rPr>
      </w:pPr>
      <w:r w:rsidRPr="00C40627">
        <w:rPr>
          <w:rStyle w:val="FootnoteReference"/>
          <w:rFonts w:eastAsiaTheme="majorEastAsia"/>
          <w:sz w:val="18"/>
          <w:lang w:val="es-ES"/>
        </w:rPr>
        <w:footnoteRef/>
      </w:r>
      <w:r w:rsidRPr="00C40627">
        <w:rPr>
          <w:sz w:val="18"/>
          <w:szCs w:val="18"/>
          <w:lang w:val="es-ES"/>
        </w:rPr>
        <w:t xml:space="preserve"> UNEP/CHW.13/INF/43-UNEP/FAO/RC/COP.8/INF/29-UNEP/POPS/COP.8/INF/46, anexo.</w:t>
      </w:r>
    </w:p>
  </w:footnote>
  <w:footnote w:id="3">
    <w:p w:rsidR="00CA1FB2" w:rsidRPr="00C40627" w:rsidRDefault="00CA1FB2" w:rsidP="00CA1FB2">
      <w:pPr>
        <w:pStyle w:val="Normal-pool"/>
        <w:tabs>
          <w:tab w:val="left" w:pos="624"/>
        </w:tabs>
        <w:spacing w:before="20" w:after="40"/>
        <w:ind w:left="1247"/>
        <w:rPr>
          <w:sz w:val="18"/>
          <w:szCs w:val="18"/>
          <w:lang w:val="es-ES"/>
        </w:rPr>
      </w:pPr>
      <w:r w:rsidRPr="00C40627">
        <w:rPr>
          <w:rStyle w:val="FootnoteReference"/>
          <w:rFonts w:eastAsiaTheme="majorEastAsia"/>
          <w:sz w:val="18"/>
          <w:lang w:val="es-ES"/>
        </w:rPr>
        <w:footnoteRef/>
      </w:r>
      <w:r w:rsidRPr="00C40627">
        <w:rPr>
          <w:sz w:val="18"/>
          <w:szCs w:val="18"/>
          <w:lang w:val="es-ES"/>
        </w:rPr>
        <w:t xml:space="preserve"> UNEP/CHW.13/INF/44-UNEP/FAO/RC/COP.8/INF/30-UNEP/POPS/COP.8/INF/47, anexo.</w:t>
      </w:r>
    </w:p>
  </w:footnote>
  <w:footnote w:id="4">
    <w:p w:rsidR="00CA1FB2" w:rsidRPr="00C40627" w:rsidRDefault="00CA1FB2" w:rsidP="00CA1FB2">
      <w:pPr>
        <w:pStyle w:val="Normal-pool"/>
        <w:tabs>
          <w:tab w:val="left" w:pos="624"/>
        </w:tabs>
        <w:spacing w:before="20" w:after="40"/>
        <w:ind w:left="1247"/>
        <w:rPr>
          <w:sz w:val="18"/>
          <w:szCs w:val="18"/>
          <w:lang w:val="es-ES"/>
        </w:rPr>
      </w:pPr>
      <w:r w:rsidRPr="00C40627">
        <w:rPr>
          <w:rStyle w:val="FootnoteReference"/>
          <w:rFonts w:eastAsiaTheme="majorEastAsia"/>
          <w:sz w:val="18"/>
          <w:lang w:val="es-ES"/>
        </w:rPr>
        <w:footnoteRef/>
      </w:r>
      <w:r w:rsidRPr="00C40627">
        <w:rPr>
          <w:sz w:val="18"/>
          <w:szCs w:val="18"/>
          <w:lang w:val="es-ES"/>
        </w:rPr>
        <w:t xml:space="preserve"> UNEP/CHW.13/INF/45-UNEP/FAO/RC/COP.8/INF/31-UNEP/POPS/COP.8/INF/48, anexo.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lvlOverride w:ilvl="0">
      <w:lvl w:ilvl="0">
        <w:start w:val="1"/>
        <w:numFmt w:val="decimal"/>
        <w:pStyle w:val="Normalnumber"/>
        <w:lvlText w:val="%1."/>
        <w:lvlJc w:val="left"/>
        <w:pPr>
          <w:tabs>
            <w:tab w:val="num" w:pos="1134"/>
          </w:tabs>
          <w:ind w:left="1247" w:firstLine="0"/>
        </w:pPr>
        <w:rPr>
          <w:rFonts w:hint="default"/>
        </w:rPr>
      </w:lvl>
    </w:lvlOverride>
  </w:num>
  <w:num w:numId="2">
    <w:abstractNumId w:val="1"/>
  </w:num>
  <w:num w:numId="3">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55877"/>
    <w:rsid w:val="0015304A"/>
    <w:rsid w:val="0034514C"/>
    <w:rsid w:val="003D41A0"/>
    <w:rsid w:val="00655877"/>
    <w:rsid w:val="00713BA6"/>
    <w:rsid w:val="00714BF8"/>
    <w:rsid w:val="00CA1FB2"/>
    <w:rsid w:val="00CB4144"/>
    <w:rsid w:val="00CC52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877"/>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65587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655877"/>
    <w:rPr>
      <w:rFonts w:ascii="Times New Roman" w:hAnsi="Times New Roman"/>
      <w:color w:val="auto"/>
      <w:sz w:val="20"/>
      <w:szCs w:val="18"/>
      <w:vertAlign w:val="superscript"/>
    </w:rPr>
  </w:style>
  <w:style w:type="character" w:customStyle="1" w:styleId="NormalnumberChar">
    <w:name w:val="Normal_number Char"/>
    <w:link w:val="Normalnumber"/>
    <w:locked/>
    <w:rsid w:val="00655877"/>
    <w:rPr>
      <w:lang w:val="fr-FR"/>
    </w:rPr>
  </w:style>
  <w:style w:type="numbering" w:customStyle="1" w:styleId="Normallist">
    <w:name w:val="Normal_list"/>
    <w:basedOn w:val="NoList"/>
    <w:rsid w:val="00655877"/>
    <w:pPr>
      <w:numPr>
        <w:numId w:val="2"/>
      </w:numPr>
    </w:pPr>
  </w:style>
  <w:style w:type="paragraph" w:customStyle="1" w:styleId="NormalNonumber">
    <w:name w:val="Normal_No_number"/>
    <w:basedOn w:val="Normal"/>
    <w:link w:val="NormalNonumberChar"/>
    <w:rsid w:val="00655877"/>
    <w:pPr>
      <w:tabs>
        <w:tab w:val="left" w:pos="1247"/>
        <w:tab w:val="left" w:pos="1814"/>
        <w:tab w:val="left" w:pos="2381"/>
        <w:tab w:val="left" w:pos="2948"/>
        <w:tab w:val="left" w:pos="3515"/>
        <w:tab w:val="left" w:pos="4082"/>
      </w:tabs>
      <w:spacing w:after="120"/>
      <w:ind w:left="1247"/>
    </w:pPr>
    <w:rPr>
      <w:sz w:val="20"/>
    </w:rPr>
  </w:style>
  <w:style w:type="paragraph" w:customStyle="1" w:styleId="Normalnumber">
    <w:name w:val="Normal_number"/>
    <w:basedOn w:val="Normal"/>
    <w:link w:val="NormalnumberChar"/>
    <w:rsid w:val="00655877"/>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655877"/>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655877"/>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5877"/>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65587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655877"/>
    <w:rPr>
      <w:rFonts w:ascii="Times New Roman" w:hAnsi="Times New Roman"/>
      <w:color w:val="auto"/>
      <w:sz w:val="20"/>
      <w:szCs w:val="18"/>
      <w:vertAlign w:val="superscript"/>
    </w:rPr>
  </w:style>
  <w:style w:type="character" w:customStyle="1" w:styleId="NormalnumberChar">
    <w:name w:val="Normal_number Char"/>
    <w:link w:val="Normalnumber"/>
    <w:locked/>
    <w:rsid w:val="00655877"/>
    <w:rPr>
      <w:lang w:val="fr-FR"/>
    </w:rPr>
  </w:style>
  <w:style w:type="numbering" w:customStyle="1" w:styleId="Normallist">
    <w:name w:val="Normal_list"/>
    <w:basedOn w:val="NoList"/>
    <w:rsid w:val="00655877"/>
    <w:pPr>
      <w:numPr>
        <w:numId w:val="1"/>
      </w:numPr>
    </w:pPr>
  </w:style>
  <w:style w:type="paragraph" w:customStyle="1" w:styleId="NormalNonumber">
    <w:name w:val="Normal_No_number"/>
    <w:basedOn w:val="Normal"/>
    <w:link w:val="NormalNonumberChar"/>
    <w:rsid w:val="00655877"/>
    <w:pPr>
      <w:tabs>
        <w:tab w:val="left" w:pos="1247"/>
        <w:tab w:val="left" w:pos="1814"/>
        <w:tab w:val="left" w:pos="2381"/>
        <w:tab w:val="left" w:pos="2948"/>
        <w:tab w:val="left" w:pos="3515"/>
        <w:tab w:val="left" w:pos="4082"/>
      </w:tabs>
      <w:spacing w:after="120"/>
      <w:ind w:left="1247"/>
    </w:pPr>
    <w:rPr>
      <w:sz w:val="20"/>
    </w:rPr>
  </w:style>
  <w:style w:type="paragraph" w:customStyle="1" w:styleId="Normalnumber">
    <w:name w:val="Normal_number"/>
    <w:basedOn w:val="Normal"/>
    <w:link w:val="NormalnumberChar"/>
    <w:rsid w:val="00655877"/>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655877"/>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655877"/>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465</Words>
  <Characters>2651</Characters>
  <Application>Microsoft Office Word</Application>
  <DocSecurity>0</DocSecurity>
  <Lines>22</Lines>
  <Paragraphs>6</Paragraphs>
  <ScaleCrop>false</ScaleCrop>
  <Company>UNEP/BRS</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achakwera</cp:lastModifiedBy>
  <cp:revision>1</cp:revision>
  <dcterms:created xsi:type="dcterms:W3CDTF">2018-01-29T14:59:00Z</dcterms:created>
  <dcterms:modified xsi:type="dcterms:W3CDTF">2018-02-01T11:33:00Z</dcterms:modified>
</cp:coreProperties>
</file>