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315" w:rsidRPr="003478B3" w:rsidRDefault="000B7315" w:rsidP="000B7315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РК-8/12: Информационно-координационный механизм для обмена информацией</w:t>
      </w:r>
    </w:p>
    <w:p w:rsidR="000B7315" w:rsidRPr="003478B3" w:rsidRDefault="000B7315" w:rsidP="000B7315">
      <w:pPr>
        <w:ind w:left="1248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с удовлетворением отмечает</w:t>
      </w:r>
      <w:r w:rsidRPr="003478B3">
        <w:rPr>
          <w:lang w:val="ru-RU"/>
        </w:rPr>
        <w:t xml:space="preserve"> прогресс, достигнутый в деле реализации совместного информационно-координационного механизма;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с удовлетворением отмечает</w:t>
      </w:r>
      <w:r w:rsidRPr="003478B3">
        <w:rPr>
          <w:lang w:val="ru-RU"/>
        </w:rPr>
        <w:t xml:space="preserve"> работу секретариата по пересмотру проекта стратегии в отношении совместного информационно-координационного механизма</w:t>
      </w:r>
      <w:r w:rsidRPr="003478B3">
        <w:rPr>
          <w:rFonts w:eastAsiaTheme="majorEastAsia"/>
          <w:vertAlign w:val="superscript"/>
          <w:lang w:val="ru-RU"/>
        </w:rPr>
        <w:footnoteReference w:id="1"/>
      </w:r>
      <w:r w:rsidRPr="003478B3">
        <w:rPr>
          <w:lang w:val="ru-RU"/>
        </w:rPr>
        <w:t xml:space="preserve"> и подготовке проекта плана работы по реализации совместного информационно-координационного механизма на двухгодичный период 2018-2019 годов</w:t>
      </w:r>
      <w:r w:rsidRPr="003478B3">
        <w:rPr>
          <w:rFonts w:eastAsiaTheme="majorEastAsia"/>
          <w:vertAlign w:val="superscript"/>
          <w:lang w:val="ru-RU"/>
        </w:rPr>
        <w:footnoteReference w:id="2"/>
      </w:r>
      <w:r w:rsidRPr="003478B3">
        <w:rPr>
          <w:lang w:val="ru-RU"/>
        </w:rPr>
        <w:t>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при условии наличия ресурсов: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а)</w:t>
      </w:r>
      <w:r w:rsidRPr="003478B3">
        <w:rPr>
          <w:lang w:val="ru-RU"/>
        </w:rPr>
        <w:tab/>
        <w:t>начать работу по осуществлению стратегии в отношении совместного информационно-координационного механизма</w:t>
      </w:r>
      <w:r w:rsidRPr="003478B3">
        <w:rPr>
          <w:rFonts w:eastAsiaTheme="majorEastAsia"/>
          <w:vertAlign w:val="superscript"/>
          <w:lang w:val="ru-RU"/>
        </w:rPr>
        <w:footnoteReference w:id="3"/>
      </w:r>
      <w:r w:rsidRPr="003478B3">
        <w:rPr>
          <w:lang w:val="ru-RU"/>
        </w:rPr>
        <w:t xml:space="preserve"> поступательным и затратоэффективным образом;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>провести мероприятия, предусмотренные в плане работы на двухгодичный период 2018-2019 годов, в соответствии с программой работы и бюджетом Конвенции на указанный двухгодичный период;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также поручает</w:t>
      </w:r>
      <w:r w:rsidRPr="003478B3">
        <w:rPr>
          <w:lang w:val="ru-RU"/>
        </w:rPr>
        <w:t xml:space="preserve"> секретариату: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а)</w:t>
      </w:r>
      <w:r w:rsidRPr="003478B3">
        <w:rPr>
          <w:lang w:val="ru-RU"/>
        </w:rPr>
        <w:tab/>
        <w:t>обеспечить, чтобы мероприятия, осуществляемые в связи с развитием информационно-координационного механизма, были затратоэффективными, соразмерными и сбалансированными и соответствовали возможностям и ресурсам секретариата;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>уделять первостепенное внимание периодическим мероприятиям, в частности в отношении технического обслуживания;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с)</w:t>
      </w:r>
      <w:r w:rsidRPr="003478B3">
        <w:rPr>
          <w:lang w:val="ru-RU"/>
        </w:rPr>
        <w:tab/>
        <w:t>по возможности осуществлять деятельность, используя штатные ресурсы, и прибегать к услугам консультантов только в обоснованных случаях;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d)</w:t>
      </w:r>
      <w:r w:rsidRPr="003478B3">
        <w:rPr>
          <w:lang w:val="ru-RU"/>
        </w:rPr>
        <w:tab/>
        <w:t xml:space="preserve">установить связь с другими соответствующими существующими механизмами и источниками информации без необходимости заново формировать имеющиеся в них сведения; 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е)</w:t>
      </w:r>
      <w:r w:rsidRPr="003478B3">
        <w:rPr>
          <w:lang w:val="ru-RU"/>
        </w:rPr>
        <w:tab/>
        <w:t>если возможно, участвовать в совещаниях с использованием электронных средств и использовать уже имеющиеся переводы на шести официальных языках Организации Объединенных Наций;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поручает далее </w:t>
      </w:r>
      <w:r w:rsidRPr="003478B3">
        <w:rPr>
          <w:lang w:val="ru-RU"/>
        </w:rPr>
        <w:t>секретариату продолжать расширять деятельность в сфере сотрудничества и координации с существующими партнерами в области обмена информацией и, при необходимости, рассмотреть возможные совместные мероприятия с новыми партнерами, а также обеспечивать взаимодополняемость и избегать дублирования в отношении нынешних и будущих мероприятий, инструментов и механизмов;</w:t>
      </w:r>
    </w:p>
    <w:p w:rsidR="000B7315" w:rsidRPr="003478B3" w:rsidRDefault="000B7315" w:rsidP="000B7315">
      <w:pPr>
        <w:ind w:left="1248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Сторонам и другим субъектам в надлежащих случаях участвовать в разработке стратегии и соответствующих мероприятий в рамках плана работы согласно настоящему решению;</w:t>
      </w:r>
    </w:p>
    <w:p w:rsidR="006B304F" w:rsidRPr="000B7315" w:rsidRDefault="000B7315" w:rsidP="000B7315">
      <w:pPr>
        <w:ind w:left="1248" w:firstLine="624"/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на регулярной основе проводить обзор стратегии, с тем чтобы учитывать приобретаемый опыт и соответствующие изменения в отношении таких вопросов, как межсекторальные и многосторонние дискуссии о рациональном регулировании химических веществ и отходов на период после 2020 года.</w:t>
      </w:r>
    </w:p>
    <w:sectPr w:rsidR="006B304F" w:rsidRPr="000B7315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D1F" w:rsidRDefault="00520D1F" w:rsidP="000B7315">
      <w:pPr>
        <w:spacing w:after="0"/>
      </w:pPr>
      <w:r>
        <w:separator/>
      </w:r>
    </w:p>
  </w:endnote>
  <w:endnote w:type="continuationSeparator" w:id="0">
    <w:p w:rsidR="00520D1F" w:rsidRDefault="00520D1F" w:rsidP="000B731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D1F" w:rsidRDefault="00520D1F" w:rsidP="000B7315">
      <w:pPr>
        <w:spacing w:after="0"/>
      </w:pPr>
      <w:r>
        <w:separator/>
      </w:r>
    </w:p>
  </w:footnote>
  <w:footnote w:type="continuationSeparator" w:id="0">
    <w:p w:rsidR="00520D1F" w:rsidRDefault="00520D1F" w:rsidP="000B7315">
      <w:pPr>
        <w:spacing w:after="0"/>
      </w:pPr>
      <w:r>
        <w:continuationSeparator/>
      </w:r>
    </w:p>
  </w:footnote>
  <w:footnote w:id="1">
    <w:p w:rsidR="000B7315" w:rsidRPr="00BC3D09" w:rsidRDefault="000B7315" w:rsidP="000B731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  <w:t>UNEP/CHW.13/INF/47-UNEP/FAO/RC/COP.8/INF/33-UNEP/POPS/COP.8/INF/50.</w:t>
      </w:r>
    </w:p>
  </w:footnote>
  <w:footnote w:id="2">
    <w:p w:rsidR="000B7315" w:rsidRPr="00BC3D09" w:rsidRDefault="000B7315" w:rsidP="000B731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  <w:t>UNEP/CHW.13/INF/48-UNEP/FAO/RC/COP.8/INF/39-UNEP/POPS/COP.8/INF/43.</w:t>
      </w:r>
    </w:p>
  </w:footnote>
  <w:footnote w:id="3">
    <w:p w:rsidR="000B7315" w:rsidRPr="00BC3D09" w:rsidRDefault="000B7315" w:rsidP="000B7315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  <w:t>UNEP/CHW.13/INF/47-UNEP/FAO/RC/COP.8/INF/33-UNEP/POPS/COP.8/INF/50.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7315"/>
    <w:rsid w:val="000B7315"/>
    <w:rsid w:val="00520D1F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B7315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0B7315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0B731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0B7315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2224</Characters>
  <Application>Microsoft Office Word</Application>
  <DocSecurity>0</DocSecurity>
  <Lines>18</Lines>
  <Paragraphs>5</Paragraphs>
  <ScaleCrop>false</ScaleCrop>
  <Company>BRS</Company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2018-01-29T16:00:00Z</dcterms:created>
  <dcterms:modified xsi:type="dcterms:W3CDTF">2018-01-29T16:00:00Z</dcterms:modified>
</cp:coreProperties>
</file>