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376B" w:rsidRPr="00294228" w:rsidRDefault="00BD376B" w:rsidP="00BD376B">
      <w:pPr>
        <w:tabs>
          <w:tab w:val="left" w:pos="1842"/>
        </w:tabs>
        <w:spacing w:after="120" w:line="400" w:lineRule="exact"/>
        <w:ind w:left="1134"/>
        <w:jc w:val="both"/>
        <w:rPr>
          <w:rFonts w:ascii="Traditional Arabic" w:hAnsi="Traditional Arabic" w:cs="Traditional Arabic"/>
          <w:noProof w:val="0"/>
          <w:sz w:val="32"/>
          <w:szCs w:val="32"/>
          <w:rtl/>
          <w:lang w:val="en-GB" w:eastAsia="zh-TW"/>
        </w:rPr>
      </w:pPr>
      <w:r w:rsidRPr="00294228">
        <w:rPr>
          <w:rFonts w:ascii="Traditional Arabic" w:hAnsi="Traditional Arabic" w:cs="Traditional Arabic"/>
          <w:b/>
          <w:bCs/>
          <w:noProof w:val="0"/>
          <w:sz w:val="32"/>
          <w:szCs w:val="32"/>
          <w:rtl/>
          <w:lang w:val="en-GB" w:eastAsia="zh-TW"/>
        </w:rPr>
        <w:t xml:space="preserve">المقرر </w:t>
      </w:r>
      <w:r>
        <w:rPr>
          <w:rFonts w:ascii="Traditional Arabic" w:hAnsi="Traditional Arabic" w:cs="Traditional Arabic"/>
          <w:b/>
          <w:bCs/>
          <w:noProof w:val="0"/>
          <w:sz w:val="32"/>
          <w:szCs w:val="32"/>
          <w:rtl/>
          <w:lang w:val="en-GB" w:eastAsia="zh-TW"/>
        </w:rPr>
        <w:t>ا</w:t>
      </w:r>
      <w:r w:rsidRPr="00294228">
        <w:rPr>
          <w:rFonts w:ascii="Traditional Arabic" w:hAnsi="Traditional Arabic" w:cs="Traditional Arabic"/>
          <w:b/>
          <w:bCs/>
          <w:noProof w:val="0"/>
          <w:sz w:val="32"/>
          <w:szCs w:val="32"/>
          <w:rtl/>
          <w:lang w:val="en-GB" w:eastAsia="zh-TW"/>
        </w:rPr>
        <w:t xml:space="preserve"> ر-8/13: تعميم المنظور الجنساني</w:t>
      </w:r>
    </w:p>
    <w:p w:rsidR="00BD376B" w:rsidRPr="00E23DC9" w:rsidRDefault="00BD376B" w:rsidP="00BD376B">
      <w:pPr>
        <w:tabs>
          <w:tab w:val="left" w:pos="2409"/>
        </w:tabs>
        <w:spacing w:after="120" w:line="400" w:lineRule="exact"/>
        <w:ind w:left="1134" w:firstLine="708"/>
        <w:jc w:val="both"/>
        <w:rPr>
          <w:rFonts w:ascii="Traditional Arabic" w:hAnsi="Traditional Arabic" w:cs="Traditional Arabic"/>
          <w:noProof w:val="0"/>
          <w:sz w:val="30"/>
          <w:szCs w:val="30"/>
          <w:rtl/>
          <w:lang w:val="en-GB" w:eastAsia="zh-TW"/>
        </w:rPr>
      </w:pPr>
      <w:r w:rsidRPr="00F039BA">
        <w:rPr>
          <w:rFonts w:ascii="Traditional Arabic" w:hAnsi="Traditional Arabic" w:cs="Traditional Arabic"/>
          <w:i/>
          <w:iCs/>
          <w:noProof w:val="0"/>
          <w:sz w:val="30"/>
          <w:szCs w:val="30"/>
          <w:rtl/>
          <w:lang w:val="en-GB" w:eastAsia="zh-TW"/>
        </w:rPr>
        <w:t>إن</w:t>
      </w:r>
      <w:r>
        <w:rPr>
          <w:rFonts w:ascii="Traditional Arabic" w:hAnsi="Traditional Arabic" w:cs="Traditional Arabic"/>
          <w:i/>
          <w:iCs/>
          <w:noProof w:val="0"/>
          <w:sz w:val="30"/>
          <w:szCs w:val="30"/>
          <w:rtl/>
          <w:lang w:val="en-GB" w:eastAsia="zh-TW"/>
        </w:rPr>
        <w:t xml:space="preserve"> مؤتمر الأطراف،</w:t>
      </w:r>
    </w:p>
    <w:p w:rsidR="00BD376B" w:rsidRPr="00000ACA" w:rsidRDefault="00BD376B" w:rsidP="00BD376B">
      <w:pPr>
        <w:pStyle w:val="Normal-pool"/>
        <w:tabs>
          <w:tab w:val="clear" w:pos="1247"/>
          <w:tab w:val="clear" w:pos="1814"/>
          <w:tab w:val="clear" w:pos="2381"/>
          <w:tab w:val="clear" w:pos="2948"/>
          <w:tab w:val="clear" w:pos="3515"/>
          <w:tab w:val="clear" w:pos="4082"/>
          <w:tab w:val="left" w:pos="2409"/>
          <w:tab w:val="left" w:pos="2976"/>
        </w:tabs>
        <w:bidi/>
        <w:spacing w:after="120" w:line="400" w:lineRule="exact"/>
        <w:ind w:left="1134" w:firstLine="708"/>
        <w:jc w:val="both"/>
        <w:rPr>
          <w:rFonts w:ascii="Traditional Arabic" w:hAnsi="Traditional Arabic" w:cs="Traditional Arabic"/>
          <w:sz w:val="30"/>
          <w:szCs w:val="30"/>
          <w:lang w:eastAsia="zh-TW"/>
        </w:rPr>
      </w:pPr>
      <w:r w:rsidRPr="00000ACA">
        <w:rPr>
          <w:rFonts w:ascii="Traditional Arabic" w:hAnsi="Traditional Arabic" w:cs="Traditional Arabic"/>
          <w:i/>
          <w:iCs/>
          <w:sz w:val="30"/>
          <w:szCs w:val="30"/>
          <w:rtl/>
          <w:lang w:eastAsia="zh-TW"/>
        </w:rPr>
        <w:t>إذ يشير</w:t>
      </w:r>
      <w:r w:rsidRPr="00000ACA">
        <w:rPr>
          <w:rFonts w:ascii="Traditional Arabic" w:hAnsi="Traditional Arabic" w:cs="Traditional Arabic"/>
          <w:sz w:val="30"/>
          <w:szCs w:val="30"/>
          <w:rtl/>
          <w:lang w:eastAsia="zh-TW"/>
        </w:rPr>
        <w:t xml:space="preserve"> إلى الهدف 5 من أهداف التنمية المستدامة المتعلق بالمساواة بين الجنسين والذي اعتمدته الجمعية العامة في 25 أيلول/سبتمبر 2015 في قرارها 70/1 المعنون ”تحويل عالمنا: خطة التنمية المستدامة لعام 2030“،</w:t>
      </w:r>
    </w:p>
    <w:p w:rsidR="00BD376B" w:rsidRPr="00000ACA" w:rsidRDefault="00BD376B" w:rsidP="00BD376B">
      <w:pPr>
        <w:pStyle w:val="Normal-pool"/>
        <w:tabs>
          <w:tab w:val="clear" w:pos="1247"/>
          <w:tab w:val="clear" w:pos="1814"/>
          <w:tab w:val="clear" w:pos="2381"/>
          <w:tab w:val="clear" w:pos="2948"/>
          <w:tab w:val="clear" w:pos="3515"/>
          <w:tab w:val="clear" w:pos="4082"/>
          <w:tab w:val="left" w:pos="2409"/>
          <w:tab w:val="left" w:pos="2976"/>
        </w:tabs>
        <w:bidi/>
        <w:spacing w:after="120" w:line="400" w:lineRule="exact"/>
        <w:ind w:left="1134" w:firstLine="708"/>
        <w:jc w:val="both"/>
        <w:rPr>
          <w:rFonts w:ascii="Traditional Arabic" w:hAnsi="Traditional Arabic" w:cs="Traditional Arabic"/>
          <w:sz w:val="30"/>
          <w:szCs w:val="30"/>
          <w:rtl/>
          <w:lang w:eastAsia="zh-TW"/>
        </w:rPr>
      </w:pPr>
      <w:r w:rsidRPr="00000ACA">
        <w:rPr>
          <w:rFonts w:ascii="Traditional Arabic" w:hAnsi="Traditional Arabic" w:cs="Traditional Arabic"/>
          <w:sz w:val="30"/>
          <w:szCs w:val="30"/>
          <w:rtl/>
          <w:lang w:eastAsia="zh-TW"/>
        </w:rPr>
        <w:t>وإذ يشير أيضاً إلى قرار جمعية الأمم المتحدة للبيئة 2/5 المؤرخ 27 أيار/مايو 2016، والمعنون ”إنجاز خطة التنمية المستدامة لعام 2030“، الذي يؤكد على جملة أمور منها أهمية احترام وحماية وتعزيز المساواة بين الجنسين في تحقيق البعد البيئي لخطة التنمية المستدامة لعام 2030،</w:t>
      </w:r>
    </w:p>
    <w:p w:rsidR="00BD376B" w:rsidRDefault="00BD376B" w:rsidP="00BD376B">
      <w:pPr>
        <w:pStyle w:val="Normal-pool"/>
        <w:numPr>
          <w:ilvl w:val="0"/>
          <w:numId w:val="1"/>
        </w:numPr>
        <w:tabs>
          <w:tab w:val="clear" w:pos="1247"/>
          <w:tab w:val="clear" w:pos="1814"/>
          <w:tab w:val="clear" w:pos="2381"/>
          <w:tab w:val="clear" w:pos="2948"/>
          <w:tab w:val="clear" w:pos="3515"/>
          <w:tab w:val="clear" w:pos="4082"/>
          <w:tab w:val="left" w:pos="2409"/>
        </w:tabs>
        <w:bidi/>
        <w:spacing w:after="120" w:line="400" w:lineRule="exact"/>
        <w:ind w:left="1134" w:firstLine="708"/>
        <w:jc w:val="both"/>
        <w:rPr>
          <w:rFonts w:ascii="Traditional Arabic" w:hAnsi="Traditional Arabic" w:cs="Traditional Arabic"/>
          <w:i/>
          <w:iCs/>
          <w:sz w:val="30"/>
          <w:szCs w:val="30"/>
          <w:rtl/>
          <w:lang w:eastAsia="zh-TW"/>
        </w:rPr>
      </w:pPr>
      <w:r w:rsidRPr="00000ACA">
        <w:rPr>
          <w:rFonts w:ascii="Traditional Arabic" w:hAnsi="Traditional Arabic" w:cs="Traditional Arabic"/>
          <w:i/>
          <w:iCs/>
          <w:sz w:val="30"/>
          <w:szCs w:val="30"/>
          <w:rtl/>
          <w:lang w:eastAsia="zh-TW"/>
        </w:rPr>
        <w:t>يرحب</w:t>
      </w:r>
      <w:r w:rsidRPr="00000ACA">
        <w:rPr>
          <w:rFonts w:ascii="Traditional Arabic" w:hAnsi="Traditional Arabic" w:cs="Traditional Arabic"/>
          <w:sz w:val="30"/>
          <w:szCs w:val="30"/>
          <w:rtl/>
          <w:lang w:eastAsia="zh-TW"/>
        </w:rPr>
        <w:t xml:space="preserve"> بخطة عمل الشؤون الجنسانية لأمانة اتفاقيات بازل وروتردام واستكهولم والتقرير المتعلق بتنفيذ خطة عمل الشؤون الجنسانية</w:t>
      </w:r>
      <w:bookmarkStart w:id="0" w:name="_Hlk491960675"/>
      <w:r w:rsidRPr="00000ACA">
        <w:rPr>
          <w:rFonts w:ascii="Traditional Arabic" w:hAnsi="Traditional Arabic" w:cs="Traditional Arabic"/>
          <w:sz w:val="30"/>
          <w:szCs w:val="30"/>
          <w:vertAlign w:val="superscript"/>
          <w:rtl/>
          <w:lang w:eastAsia="zh-TW"/>
        </w:rPr>
        <w:t>(</w:t>
      </w:r>
      <w:r w:rsidRPr="00000ACA">
        <w:rPr>
          <w:vertAlign w:val="superscript"/>
          <w:rtl/>
        </w:rPr>
        <w:footnoteReference w:id="1"/>
      </w:r>
      <w:r w:rsidRPr="00000ACA">
        <w:rPr>
          <w:rFonts w:ascii="Traditional Arabic" w:hAnsi="Traditional Arabic" w:cs="Traditional Arabic"/>
          <w:sz w:val="30"/>
          <w:szCs w:val="30"/>
          <w:vertAlign w:val="superscript"/>
          <w:rtl/>
          <w:lang w:eastAsia="zh-TW"/>
        </w:rPr>
        <w:t>)</w:t>
      </w:r>
      <w:bookmarkEnd w:id="0"/>
      <w:r w:rsidRPr="00000ACA">
        <w:rPr>
          <w:rFonts w:ascii="Traditional Arabic" w:hAnsi="Traditional Arabic" w:cs="Traditional Arabic"/>
          <w:sz w:val="30"/>
          <w:szCs w:val="30"/>
          <w:rtl/>
          <w:lang w:eastAsia="zh-TW"/>
        </w:rPr>
        <w:t>، ويطلب إلى الأمانة أن تواصل الجهود التي تبذلها في مجال تعميم مراعاة المنظور الجنساني في أنشطتها ومشاريعها وبرامجها؛</w:t>
      </w:r>
    </w:p>
    <w:p w:rsidR="00BD376B" w:rsidRPr="00B52D54" w:rsidRDefault="00BD376B" w:rsidP="00BD376B">
      <w:pPr>
        <w:pStyle w:val="Normal-pool"/>
        <w:numPr>
          <w:ilvl w:val="0"/>
          <w:numId w:val="1"/>
        </w:numPr>
        <w:tabs>
          <w:tab w:val="clear" w:pos="1247"/>
          <w:tab w:val="clear" w:pos="1814"/>
          <w:tab w:val="clear" w:pos="2381"/>
          <w:tab w:val="clear" w:pos="2948"/>
          <w:tab w:val="clear" w:pos="3515"/>
          <w:tab w:val="clear" w:pos="4082"/>
          <w:tab w:val="left" w:pos="2409"/>
        </w:tabs>
        <w:bidi/>
        <w:spacing w:after="120" w:line="400" w:lineRule="exact"/>
        <w:ind w:left="1134" w:firstLine="708"/>
        <w:jc w:val="both"/>
        <w:rPr>
          <w:rFonts w:cs="Traditional Arabic"/>
          <w:sz w:val="30"/>
          <w:szCs w:val="30"/>
          <w:rtl/>
        </w:rPr>
      </w:pPr>
      <w:r w:rsidRPr="00B52D54">
        <w:rPr>
          <w:rFonts w:ascii="Traditional Arabic" w:hAnsi="Traditional Arabic" w:cs="Traditional Arabic"/>
          <w:i/>
          <w:iCs/>
          <w:sz w:val="30"/>
          <w:szCs w:val="30"/>
          <w:rtl/>
          <w:lang w:eastAsia="zh-TW"/>
        </w:rPr>
        <w:t>يسلم</w:t>
      </w:r>
      <w:r w:rsidRPr="00B52D54">
        <w:rPr>
          <w:rFonts w:ascii="Traditional Arabic" w:hAnsi="Traditional Arabic" w:cs="Traditional Arabic"/>
          <w:sz w:val="30"/>
          <w:szCs w:val="30"/>
          <w:rtl/>
          <w:lang w:eastAsia="zh-TW"/>
        </w:rPr>
        <w:t xml:space="preserve"> بأنه على الرغم من الجهود التي تبذلها الأطراف والأمانة من أجل تعزيز المساواة بين الجنسين، فإنه لا تزال هناك حاجة إلى بذل المزيد من الجهود للتأكد من أن النساء والرجال من جميع الأطراف معنيون على قدم المساواة بتنفيذ الاتفاقيات الثلاث ومُـمَثَّلون في هيئاتها وعملياتها ويرشدون بالتالي ويشاركون في اتخاذ القرارات بشأن سياسات المواد الكيميائية والنفايات</w:t>
      </w:r>
      <w:r w:rsidRPr="00B52D54">
        <w:rPr>
          <w:rFonts w:cs="Traditional Arabic"/>
          <w:sz w:val="30"/>
          <w:szCs w:val="30"/>
          <w:rtl/>
        </w:rPr>
        <w:t xml:space="preserve"> الخطرة المراعية للمنظور الجنساني؛</w:t>
      </w:r>
    </w:p>
    <w:p w:rsidR="00BD376B" w:rsidRDefault="00BD376B" w:rsidP="00BD376B">
      <w:pPr>
        <w:tabs>
          <w:tab w:val="left" w:pos="2409"/>
        </w:tabs>
        <w:spacing w:after="120" w:line="400" w:lineRule="exact"/>
        <w:ind w:left="1134" w:firstLine="708"/>
        <w:jc w:val="both"/>
        <w:rPr>
          <w:rFonts w:cs="Traditional Arabic"/>
          <w:noProof w:val="0"/>
          <w:sz w:val="30"/>
          <w:szCs w:val="30"/>
          <w:rtl/>
        </w:rPr>
      </w:pPr>
      <w:r>
        <w:rPr>
          <w:rFonts w:cs="Traditional Arabic"/>
          <w:noProof w:val="0"/>
          <w:sz w:val="30"/>
          <w:szCs w:val="30"/>
          <w:rtl/>
        </w:rPr>
        <w:t>3-</w:t>
      </w:r>
      <w:r>
        <w:rPr>
          <w:rFonts w:cs="Traditional Arabic"/>
          <w:noProof w:val="0"/>
          <w:sz w:val="30"/>
          <w:szCs w:val="30"/>
          <w:rtl/>
        </w:rPr>
        <w:tab/>
      </w:r>
      <w:r>
        <w:rPr>
          <w:rFonts w:cs="Traditional Arabic"/>
          <w:i/>
          <w:iCs/>
          <w:noProof w:val="0"/>
          <w:sz w:val="30"/>
          <w:szCs w:val="30"/>
          <w:rtl/>
        </w:rPr>
        <w:t>يطلب</w:t>
      </w:r>
      <w:r>
        <w:rPr>
          <w:rFonts w:cs="Traditional Arabic"/>
          <w:noProof w:val="0"/>
          <w:sz w:val="30"/>
          <w:szCs w:val="30"/>
          <w:rtl/>
        </w:rPr>
        <w:t xml:space="preserve"> إلى الأمانة ما يلي:</w:t>
      </w:r>
    </w:p>
    <w:p w:rsidR="00BD376B" w:rsidRDefault="00BD376B" w:rsidP="00BD376B">
      <w:pPr>
        <w:tabs>
          <w:tab w:val="left" w:pos="2409"/>
        </w:tabs>
        <w:spacing w:after="120" w:line="400" w:lineRule="exact"/>
        <w:ind w:left="1134" w:firstLine="708"/>
        <w:jc w:val="both"/>
        <w:rPr>
          <w:rFonts w:cs="Traditional Arabic"/>
          <w:noProof w:val="0"/>
          <w:sz w:val="30"/>
          <w:szCs w:val="30"/>
          <w:rtl/>
        </w:rPr>
      </w:pPr>
      <w:r>
        <w:rPr>
          <w:rFonts w:cs="Traditional Arabic"/>
          <w:noProof w:val="0"/>
          <w:sz w:val="30"/>
          <w:szCs w:val="30"/>
          <w:rtl/>
        </w:rPr>
        <w:t>(أ)</w:t>
      </w:r>
      <w:r>
        <w:rPr>
          <w:rFonts w:cs="Traditional Arabic"/>
          <w:noProof w:val="0"/>
          <w:sz w:val="30"/>
          <w:szCs w:val="30"/>
          <w:rtl/>
        </w:rPr>
        <w:tab/>
        <w:t>أن تواصل، وفقاً للمقررات ا ب -12/٢٥، وا ر-7/15 وا س-7/33، تقديم تقارير عن تنفيذ خطة عمل الشؤون الجنسانية إلى مؤتمرات الأطراف في اجتماعاتها في عام ٢٠١٩ والاجتماعات اللاحقة؛</w:t>
      </w:r>
    </w:p>
    <w:p w:rsidR="00BD376B" w:rsidRDefault="00BD376B" w:rsidP="00BD376B">
      <w:pPr>
        <w:tabs>
          <w:tab w:val="left" w:pos="2409"/>
        </w:tabs>
        <w:spacing w:after="120" w:line="400" w:lineRule="exact"/>
        <w:ind w:left="1134" w:firstLine="708"/>
        <w:jc w:val="both"/>
        <w:rPr>
          <w:rFonts w:cs="Times New Roman"/>
          <w:noProof w:val="0"/>
          <w:szCs w:val="24"/>
          <w:rtl/>
        </w:rPr>
      </w:pPr>
      <w:r>
        <w:rPr>
          <w:rFonts w:cs="Traditional Arabic"/>
          <w:noProof w:val="0"/>
          <w:sz w:val="30"/>
          <w:szCs w:val="30"/>
          <w:rtl/>
        </w:rPr>
        <w:t>(ب)</w:t>
      </w:r>
      <w:r>
        <w:rPr>
          <w:rFonts w:cs="Traditional Arabic"/>
          <w:noProof w:val="0"/>
          <w:sz w:val="30"/>
          <w:szCs w:val="30"/>
          <w:rtl/>
        </w:rPr>
        <w:tab/>
        <w:t>أن تستكمل خطة عمل الشؤون الجنسانية لإدماج مراعاة اعتبارات المساواة بين الجنسين في برنامج العمل، لكي تنظر فيها مؤتمرات الأطراف في اجتماعاتها المقبلة، مع وضع مؤشرات لرصد التقدم المحرز لتمكين مؤتمرات الأطراف من متابعة تنفيذ الخطة.</w:t>
      </w:r>
    </w:p>
    <w:p w:rsidR="00CD6F2D" w:rsidRDefault="00CD6F2D"/>
    <w:sectPr w:rsidR="00CD6F2D" w:rsidSect="00CD6F2D">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1EBA" w:rsidRDefault="002C1EBA" w:rsidP="00BD376B">
      <w:r>
        <w:separator/>
      </w:r>
    </w:p>
  </w:endnote>
  <w:endnote w:type="continuationSeparator" w:id="0">
    <w:p w:rsidR="002C1EBA" w:rsidRDefault="002C1EBA" w:rsidP="00BD37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1EBA" w:rsidRDefault="002C1EBA" w:rsidP="00BD376B">
      <w:r>
        <w:separator/>
      </w:r>
    </w:p>
  </w:footnote>
  <w:footnote w:type="continuationSeparator" w:id="0">
    <w:p w:rsidR="002C1EBA" w:rsidRDefault="002C1EBA" w:rsidP="00BD376B">
      <w:r>
        <w:continuationSeparator/>
      </w:r>
    </w:p>
  </w:footnote>
  <w:footnote w:id="1">
    <w:p w:rsidR="00BD376B" w:rsidRPr="00294228" w:rsidRDefault="00BD376B" w:rsidP="00BD376B">
      <w:pPr>
        <w:pStyle w:val="FootnoteText"/>
        <w:spacing w:after="60" w:line="300" w:lineRule="exact"/>
        <w:ind w:left="1134"/>
        <w:jc w:val="both"/>
        <w:textDirection w:val="tbRlV"/>
        <w:rPr>
          <w:sz w:val="26"/>
          <w:szCs w:val="26"/>
          <w:rtl/>
          <w:lang w:val="en-GB" w:eastAsia="zh-TW"/>
        </w:rPr>
      </w:pPr>
      <w:r w:rsidRPr="00294228">
        <w:rPr>
          <w:rFonts w:cs="Traditional Arabic"/>
          <w:sz w:val="26"/>
          <w:szCs w:val="26"/>
          <w:rtl/>
        </w:rPr>
        <w:t>(</w:t>
      </w:r>
      <w:r w:rsidRPr="00294228">
        <w:rPr>
          <w:rStyle w:val="FootnoteReference"/>
          <w:rFonts w:cs="Traditional Arabic"/>
          <w:sz w:val="26"/>
          <w:szCs w:val="26"/>
          <w:rtl/>
        </w:rPr>
        <w:footnoteRef/>
      </w:r>
      <w:r w:rsidRPr="00294228">
        <w:rPr>
          <w:rFonts w:cs="Traditional Arabic"/>
          <w:sz w:val="26"/>
          <w:szCs w:val="26"/>
          <w:rtl/>
        </w:rPr>
        <w:t>)</w:t>
      </w:r>
      <w:r w:rsidRPr="00294228">
        <w:rPr>
          <w:rFonts w:cs="Traditional Arabic" w:hint="cs"/>
          <w:sz w:val="26"/>
          <w:szCs w:val="26"/>
          <w:rtl/>
        </w:rPr>
        <w:t xml:space="preserve">  </w:t>
      </w:r>
      <w:r w:rsidRPr="00BD376B">
        <w:rPr>
          <w:rStyle w:val="DeltaViewInsertion"/>
          <w:rFonts w:ascii="Times New Roman" w:hAnsi="Times New Roman" w:cs="Traditional Arabic"/>
          <w:color w:val="000000" w:themeColor="text1"/>
          <w:sz w:val="18"/>
          <w:szCs w:val="26"/>
          <w:u w:val="none"/>
        </w:rPr>
        <w:t>UNEP/CHW.13/INF/46-UNEP/FAO/RC/COP.8/INF/32-UNEP/POPS/COP.8/INF/49</w:t>
      </w:r>
      <w:r w:rsidRPr="00BD376B">
        <w:rPr>
          <w:rFonts w:ascii="Times New Roman" w:hAnsi="Times New Roman" w:cs="Traditional Arabic" w:hint="cs"/>
          <w:sz w:val="18"/>
          <w:szCs w:val="26"/>
          <w:rtl/>
        </w:rPr>
        <w:t>، المرفق.</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D971C6"/>
    <w:multiLevelType w:val="hybridMultilevel"/>
    <w:tmpl w:val="01B6EEFE"/>
    <w:lvl w:ilvl="0" w:tplc="0786F82C">
      <w:start w:val="1"/>
      <w:numFmt w:val="decimal"/>
      <w:lvlText w:val="%1-"/>
      <w:lvlJc w:val="left"/>
      <w:pPr>
        <w:ind w:left="2407" w:hanging="564"/>
      </w:pPr>
      <w:rPr>
        <w:rFonts w:hint="default"/>
        <w:i/>
        <w:iCs w:val="0"/>
        <w:u w:val="none"/>
      </w:rPr>
    </w:lvl>
    <w:lvl w:ilvl="1" w:tplc="04090019" w:tentative="1">
      <w:start w:val="1"/>
      <w:numFmt w:val="lowerLetter"/>
      <w:lvlText w:val="%2."/>
      <w:lvlJc w:val="left"/>
      <w:pPr>
        <w:ind w:left="2923" w:hanging="360"/>
      </w:pPr>
    </w:lvl>
    <w:lvl w:ilvl="2" w:tplc="0409001B" w:tentative="1">
      <w:start w:val="1"/>
      <w:numFmt w:val="lowerRoman"/>
      <w:lvlText w:val="%3."/>
      <w:lvlJc w:val="right"/>
      <w:pPr>
        <w:ind w:left="3643" w:hanging="180"/>
      </w:pPr>
    </w:lvl>
    <w:lvl w:ilvl="3" w:tplc="0409000F" w:tentative="1">
      <w:start w:val="1"/>
      <w:numFmt w:val="decimal"/>
      <w:lvlText w:val="%4."/>
      <w:lvlJc w:val="left"/>
      <w:pPr>
        <w:ind w:left="4363" w:hanging="360"/>
      </w:pPr>
    </w:lvl>
    <w:lvl w:ilvl="4" w:tplc="04090019" w:tentative="1">
      <w:start w:val="1"/>
      <w:numFmt w:val="lowerLetter"/>
      <w:lvlText w:val="%5."/>
      <w:lvlJc w:val="left"/>
      <w:pPr>
        <w:ind w:left="5083" w:hanging="360"/>
      </w:pPr>
    </w:lvl>
    <w:lvl w:ilvl="5" w:tplc="0409001B" w:tentative="1">
      <w:start w:val="1"/>
      <w:numFmt w:val="lowerRoman"/>
      <w:lvlText w:val="%6."/>
      <w:lvlJc w:val="right"/>
      <w:pPr>
        <w:ind w:left="5803" w:hanging="180"/>
      </w:pPr>
    </w:lvl>
    <w:lvl w:ilvl="6" w:tplc="0409000F" w:tentative="1">
      <w:start w:val="1"/>
      <w:numFmt w:val="decimal"/>
      <w:lvlText w:val="%7."/>
      <w:lvlJc w:val="left"/>
      <w:pPr>
        <w:ind w:left="6523" w:hanging="360"/>
      </w:pPr>
    </w:lvl>
    <w:lvl w:ilvl="7" w:tplc="04090019" w:tentative="1">
      <w:start w:val="1"/>
      <w:numFmt w:val="lowerLetter"/>
      <w:lvlText w:val="%8."/>
      <w:lvlJc w:val="left"/>
      <w:pPr>
        <w:ind w:left="7243" w:hanging="360"/>
      </w:pPr>
    </w:lvl>
    <w:lvl w:ilvl="8" w:tplc="0409001B" w:tentative="1">
      <w:start w:val="1"/>
      <w:numFmt w:val="lowerRoman"/>
      <w:lvlText w:val="%9."/>
      <w:lvlJc w:val="right"/>
      <w:pPr>
        <w:ind w:left="7963"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footnotePr>
    <w:footnote w:id="-1"/>
    <w:footnote w:id="0"/>
  </w:footnotePr>
  <w:endnotePr>
    <w:endnote w:id="-1"/>
    <w:endnote w:id="0"/>
  </w:endnotePr>
  <w:compat/>
  <w:rsids>
    <w:rsidRoot w:val="00BD376B"/>
    <w:rsid w:val="002C1EBA"/>
    <w:rsid w:val="00BD376B"/>
    <w:rsid w:val="00CD6F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376B"/>
    <w:pPr>
      <w:bidi/>
      <w:spacing w:after="0" w:line="240" w:lineRule="auto"/>
    </w:pPr>
    <w:rPr>
      <w:rFonts w:ascii="Times" w:eastAsia="Times New Roman" w:hAnsi="Times" w:cs="Simplified Arabic"/>
      <w:noProof/>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rsid w:val="00BD376B"/>
    <w:rPr>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rsid w:val="00BD376B"/>
    <w:rPr>
      <w:rFonts w:ascii="Times" w:eastAsia="Times New Roman" w:hAnsi="Times" w:cs="Simplified Arabic"/>
      <w:noProof/>
      <w:sz w:val="20"/>
      <w:szCs w:val="20"/>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Reference1"/>
    <w:rsid w:val="00BD376B"/>
    <w:rPr>
      <w:vertAlign w:val="superscript"/>
    </w:rPr>
  </w:style>
  <w:style w:type="paragraph" w:customStyle="1" w:styleId="Normal-pool">
    <w:name w:val="Normal-pool"/>
    <w:link w:val="Normal-poolChar"/>
    <w:rsid w:val="00BD376B"/>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character" w:customStyle="1" w:styleId="DeltaViewInsertion">
    <w:name w:val="DeltaView Insertion"/>
    <w:uiPriority w:val="99"/>
    <w:rsid w:val="00BD376B"/>
    <w:rPr>
      <w:color w:val="0000FF"/>
      <w:u w:val="double"/>
    </w:rPr>
  </w:style>
  <w:style w:type="character" w:customStyle="1" w:styleId="Normal-poolChar">
    <w:name w:val="Normal-pool Char"/>
    <w:link w:val="Normal-pool"/>
    <w:locked/>
    <w:rsid w:val="00BD376B"/>
    <w:rPr>
      <w:rFonts w:ascii="Times New Roman" w:eastAsia="Times New Roman" w:hAnsi="Times New Roman" w:cs="Times New Roman"/>
      <w:sz w:val="20"/>
      <w:szCs w:val="2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236</Words>
  <Characters>1350</Characters>
  <Application>Microsoft Office Word</Application>
  <DocSecurity>0</DocSecurity>
  <Lines>11</Lines>
  <Paragraphs>3</Paragraphs>
  <ScaleCrop>false</ScaleCrop>
  <Company>BRS</Company>
  <LinksUpToDate>false</LinksUpToDate>
  <CharactersWithSpaces>1583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1</cp:revision>
  <dcterms:created xsi:type="dcterms:W3CDTF">2018-01-29T15:00:00Z</dcterms:created>
  <dcterms:modified xsi:type="dcterms:W3CDTF">2018-01-29T15:00:00Z</dcterms:modified>
</cp:coreProperties>
</file>