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555B" w:rsidRPr="003554A8" w:rsidRDefault="00AB555B" w:rsidP="00AB555B">
      <w:pPr>
        <w:pStyle w:val="Normal-pool"/>
        <w:tabs>
          <w:tab w:val="clear" w:pos="1247"/>
          <w:tab w:val="clear" w:pos="1814"/>
          <w:tab w:val="clear" w:pos="2381"/>
          <w:tab w:val="clear" w:pos="2948"/>
          <w:tab w:val="clear" w:pos="3515"/>
          <w:tab w:val="left" w:pos="624"/>
        </w:tabs>
        <w:spacing w:after="120"/>
        <w:ind w:left="1276"/>
        <w:jc w:val="both"/>
        <w:rPr>
          <w:rFonts w:eastAsia="SimHei"/>
          <w:b/>
          <w:sz w:val="28"/>
          <w:szCs w:val="28"/>
        </w:rPr>
      </w:pPr>
      <w:r w:rsidRPr="003554A8">
        <w:rPr>
          <w:rFonts w:eastAsia="SimHei"/>
          <w:b/>
          <w:sz w:val="28"/>
          <w:szCs w:val="28"/>
        </w:rPr>
        <w:t>RC-8/13</w:t>
      </w:r>
      <w:r w:rsidRPr="003554A8">
        <w:rPr>
          <w:rFonts w:eastAsia="SimHei"/>
          <w:b/>
          <w:sz w:val="28"/>
          <w:szCs w:val="28"/>
        </w:rPr>
        <w:t>：性别主流化</w:t>
      </w:r>
    </w:p>
    <w:p w:rsidR="00AB555B" w:rsidRPr="003554A8" w:rsidRDefault="00AB555B" w:rsidP="00AB555B">
      <w:pPr>
        <w:tabs>
          <w:tab w:val="left" w:pos="624"/>
        </w:tabs>
        <w:spacing w:after="120"/>
        <w:ind w:left="1247" w:firstLine="624"/>
        <w:jc w:val="both"/>
        <w:outlineLvl w:val="0"/>
        <w:rPr>
          <w:rFonts w:eastAsia="楷体"/>
          <w:sz w:val="24"/>
        </w:rPr>
      </w:pPr>
      <w:r w:rsidRPr="003554A8">
        <w:rPr>
          <w:rFonts w:eastAsia="楷体"/>
          <w:sz w:val="24"/>
        </w:rPr>
        <w:t>缔约方大会，</w:t>
      </w:r>
    </w:p>
    <w:p w:rsidR="00AB555B" w:rsidRPr="003554A8" w:rsidRDefault="00AB555B" w:rsidP="00AB555B">
      <w:pPr>
        <w:tabs>
          <w:tab w:val="left" w:pos="624"/>
        </w:tabs>
        <w:spacing w:after="120"/>
        <w:ind w:left="1247" w:firstLine="624"/>
        <w:jc w:val="both"/>
        <w:outlineLvl w:val="0"/>
        <w:rPr>
          <w:bCs/>
          <w:sz w:val="24"/>
        </w:rPr>
      </w:pPr>
      <w:r w:rsidRPr="003554A8">
        <w:rPr>
          <w:rFonts w:eastAsia="楷体"/>
          <w:sz w:val="24"/>
        </w:rPr>
        <w:t>回顾</w:t>
      </w:r>
      <w:r w:rsidRPr="003554A8">
        <w:rPr>
          <w:sz w:val="24"/>
        </w:rPr>
        <w:t>大会于</w:t>
      </w:r>
      <w:r w:rsidRPr="003554A8">
        <w:rPr>
          <w:sz w:val="24"/>
        </w:rPr>
        <w:t>2015</w:t>
      </w:r>
      <w:r w:rsidRPr="003554A8">
        <w:rPr>
          <w:sz w:val="24"/>
        </w:rPr>
        <w:t>年</w:t>
      </w:r>
      <w:r w:rsidRPr="003554A8">
        <w:rPr>
          <w:sz w:val="24"/>
        </w:rPr>
        <w:t>9</w:t>
      </w:r>
      <w:r w:rsidRPr="003554A8">
        <w:rPr>
          <w:sz w:val="24"/>
        </w:rPr>
        <w:t>月</w:t>
      </w:r>
      <w:r w:rsidRPr="003554A8">
        <w:rPr>
          <w:sz w:val="24"/>
        </w:rPr>
        <w:t>25</w:t>
      </w:r>
      <w:r w:rsidRPr="003554A8">
        <w:rPr>
          <w:sz w:val="24"/>
        </w:rPr>
        <w:t>日在题为</w:t>
      </w:r>
      <w:r w:rsidRPr="003554A8">
        <w:rPr>
          <w:sz w:val="24"/>
        </w:rPr>
        <w:t>“</w:t>
      </w:r>
      <w:r w:rsidRPr="003554A8">
        <w:rPr>
          <w:sz w:val="24"/>
        </w:rPr>
        <w:t>改变我们的世界：《</w:t>
      </w:r>
      <w:r w:rsidRPr="003554A8">
        <w:rPr>
          <w:sz w:val="24"/>
        </w:rPr>
        <w:t>2030</w:t>
      </w:r>
      <w:r w:rsidRPr="003554A8">
        <w:rPr>
          <w:sz w:val="24"/>
        </w:rPr>
        <w:t>年可持续发展议程》</w:t>
      </w:r>
      <w:r w:rsidRPr="003554A8">
        <w:rPr>
          <w:sz w:val="24"/>
        </w:rPr>
        <w:t>”</w:t>
      </w:r>
      <w:r w:rsidRPr="003554A8">
        <w:rPr>
          <w:sz w:val="24"/>
        </w:rPr>
        <w:t>的第</w:t>
      </w:r>
      <w:r w:rsidRPr="003554A8">
        <w:rPr>
          <w:sz w:val="24"/>
        </w:rPr>
        <w:t>70/1</w:t>
      </w:r>
      <w:r w:rsidRPr="003554A8">
        <w:rPr>
          <w:sz w:val="24"/>
        </w:rPr>
        <w:t>号决议中通过的关于性别平等的可持续发展目标</w:t>
      </w:r>
      <w:r w:rsidRPr="003554A8">
        <w:rPr>
          <w:sz w:val="24"/>
        </w:rPr>
        <w:t>5</w:t>
      </w:r>
      <w:r w:rsidRPr="003554A8">
        <w:rPr>
          <w:sz w:val="24"/>
        </w:rPr>
        <w:t>，</w:t>
      </w:r>
    </w:p>
    <w:p w:rsidR="00AB555B" w:rsidRPr="003554A8" w:rsidRDefault="00AB555B" w:rsidP="00AB555B">
      <w:pPr>
        <w:tabs>
          <w:tab w:val="left" w:pos="624"/>
        </w:tabs>
        <w:spacing w:after="120"/>
        <w:ind w:left="1247" w:firstLine="624"/>
        <w:jc w:val="both"/>
        <w:outlineLvl w:val="0"/>
        <w:rPr>
          <w:i/>
          <w:sz w:val="24"/>
        </w:rPr>
      </w:pPr>
      <w:r w:rsidRPr="003554A8">
        <w:rPr>
          <w:rFonts w:eastAsia="楷体"/>
          <w:sz w:val="24"/>
        </w:rPr>
        <w:t>又回顾</w:t>
      </w:r>
      <w:r w:rsidRPr="003554A8">
        <w:rPr>
          <w:sz w:val="24"/>
        </w:rPr>
        <w:t>2016</w:t>
      </w:r>
      <w:r w:rsidRPr="003554A8">
        <w:rPr>
          <w:sz w:val="24"/>
        </w:rPr>
        <w:t>年</w:t>
      </w:r>
      <w:r w:rsidRPr="003554A8">
        <w:rPr>
          <w:sz w:val="24"/>
        </w:rPr>
        <w:t>5</w:t>
      </w:r>
      <w:r w:rsidRPr="003554A8">
        <w:rPr>
          <w:sz w:val="24"/>
        </w:rPr>
        <w:t>月</w:t>
      </w:r>
      <w:r w:rsidRPr="003554A8">
        <w:rPr>
          <w:sz w:val="24"/>
        </w:rPr>
        <w:t>27</w:t>
      </w:r>
      <w:r w:rsidRPr="003554A8">
        <w:rPr>
          <w:sz w:val="24"/>
        </w:rPr>
        <w:t>日的联合国大会题为</w:t>
      </w:r>
      <w:r w:rsidRPr="003554A8">
        <w:rPr>
          <w:sz w:val="24"/>
        </w:rPr>
        <w:t>“</w:t>
      </w:r>
      <w:r w:rsidRPr="003554A8">
        <w:rPr>
          <w:sz w:val="24"/>
        </w:rPr>
        <w:t>实现《</w:t>
      </w:r>
      <w:r w:rsidRPr="003554A8">
        <w:rPr>
          <w:sz w:val="24"/>
        </w:rPr>
        <w:t>2030</w:t>
      </w:r>
      <w:r w:rsidRPr="003554A8">
        <w:rPr>
          <w:sz w:val="24"/>
        </w:rPr>
        <w:t>年可持续发展议程》</w:t>
      </w:r>
      <w:r w:rsidRPr="003554A8">
        <w:rPr>
          <w:sz w:val="24"/>
        </w:rPr>
        <w:t>”</w:t>
      </w:r>
      <w:r w:rsidRPr="003554A8">
        <w:rPr>
          <w:sz w:val="24"/>
        </w:rPr>
        <w:t>的第</w:t>
      </w:r>
      <w:r w:rsidRPr="003554A8">
        <w:rPr>
          <w:sz w:val="24"/>
        </w:rPr>
        <w:t>2/5</w:t>
      </w:r>
      <w:r w:rsidRPr="003554A8">
        <w:rPr>
          <w:sz w:val="24"/>
        </w:rPr>
        <w:t>号决议，决议尤其强调了在实现《</w:t>
      </w:r>
      <w:r w:rsidRPr="003554A8">
        <w:rPr>
          <w:sz w:val="24"/>
        </w:rPr>
        <w:t>2030</w:t>
      </w:r>
      <w:r w:rsidRPr="003554A8">
        <w:rPr>
          <w:sz w:val="24"/>
        </w:rPr>
        <w:t>年可持续发展议程》的环境目标时尊重、保护和促进性别平等的重要性，</w:t>
      </w:r>
    </w:p>
    <w:p w:rsidR="00AB555B" w:rsidRPr="001066BF" w:rsidRDefault="00AB555B" w:rsidP="00AB555B">
      <w:pPr>
        <w:pStyle w:val="Normalnumber"/>
        <w:numPr>
          <w:ilvl w:val="6"/>
          <w:numId w:val="2"/>
        </w:numPr>
        <w:tabs>
          <w:tab w:val="clear" w:pos="1247"/>
          <w:tab w:val="clear" w:pos="1814"/>
          <w:tab w:val="clear" w:pos="2381"/>
          <w:tab w:val="clear" w:pos="2948"/>
          <w:tab w:val="clear" w:pos="3515"/>
          <w:tab w:val="clear" w:pos="4082"/>
          <w:tab w:val="left" w:pos="624"/>
          <w:tab w:val="left" w:pos="2430"/>
        </w:tabs>
        <w:ind w:left="1247" w:firstLine="624"/>
        <w:jc w:val="both"/>
        <w:rPr>
          <w:sz w:val="24"/>
          <w:lang w:val="en-GB"/>
        </w:rPr>
      </w:pPr>
      <w:r w:rsidRPr="003554A8">
        <w:rPr>
          <w:rFonts w:eastAsia="楷体"/>
          <w:sz w:val="24"/>
          <w:lang w:val="en-GB"/>
        </w:rPr>
        <w:t>欢迎</w:t>
      </w:r>
      <w:r w:rsidRPr="003554A8">
        <w:rPr>
          <w:sz w:val="24"/>
        </w:rPr>
        <w:t>巴塞尔、鹿特丹和斯德哥尔摩公约秘书处的性别行动计划以及关于执行性别行动计划的报告</w:t>
      </w:r>
      <w:r w:rsidRPr="003554A8">
        <w:rPr>
          <w:sz w:val="24"/>
          <w:vertAlign w:val="superscript"/>
          <w:lang w:val="en-GB"/>
        </w:rPr>
        <w:footnoteReference w:id="1"/>
      </w:r>
      <w:r w:rsidRPr="001066BF">
        <w:rPr>
          <w:rFonts w:hint="eastAsia"/>
          <w:sz w:val="24"/>
          <w:lang w:val="en-GB"/>
        </w:rPr>
        <w:t>，</w:t>
      </w:r>
      <w:r w:rsidRPr="003554A8">
        <w:rPr>
          <w:sz w:val="24"/>
        </w:rPr>
        <w:t>并请秘书处继续努力推动其活动、项目和方案的性别主流化</w:t>
      </w:r>
      <w:r w:rsidRPr="001066BF">
        <w:rPr>
          <w:rFonts w:hint="eastAsia"/>
          <w:sz w:val="24"/>
          <w:lang w:val="en-GB"/>
        </w:rPr>
        <w:t>；</w:t>
      </w:r>
    </w:p>
    <w:p w:rsidR="00AB555B" w:rsidRPr="001066BF" w:rsidRDefault="00AB555B" w:rsidP="00AB555B">
      <w:pPr>
        <w:pStyle w:val="Normalnumber"/>
        <w:numPr>
          <w:ilvl w:val="6"/>
          <w:numId w:val="2"/>
        </w:numPr>
        <w:tabs>
          <w:tab w:val="clear" w:pos="1247"/>
          <w:tab w:val="clear" w:pos="1814"/>
          <w:tab w:val="clear" w:pos="2381"/>
          <w:tab w:val="clear" w:pos="2948"/>
          <w:tab w:val="clear" w:pos="3515"/>
          <w:tab w:val="clear" w:pos="4082"/>
          <w:tab w:val="left" w:pos="624"/>
          <w:tab w:val="left" w:pos="2430"/>
        </w:tabs>
        <w:ind w:left="1247" w:firstLine="624"/>
        <w:jc w:val="both"/>
        <w:rPr>
          <w:sz w:val="24"/>
          <w:lang w:val="en-GB"/>
        </w:rPr>
      </w:pPr>
      <w:r w:rsidRPr="003554A8">
        <w:rPr>
          <w:rFonts w:eastAsia="楷体"/>
          <w:sz w:val="24"/>
          <w:lang w:val="en-GB"/>
        </w:rPr>
        <w:t>承认</w:t>
      </w:r>
      <w:r w:rsidRPr="003554A8">
        <w:rPr>
          <w:sz w:val="24"/>
        </w:rPr>
        <w:t>尽管缔约方和秘书处为推动性别平等付出了努力</w:t>
      </w:r>
      <w:r w:rsidRPr="001066BF">
        <w:rPr>
          <w:rFonts w:hint="eastAsia"/>
          <w:sz w:val="24"/>
          <w:lang w:val="en-GB"/>
        </w:rPr>
        <w:t>，</w:t>
      </w:r>
      <w:r w:rsidRPr="003554A8">
        <w:rPr>
          <w:sz w:val="24"/>
        </w:rPr>
        <w:t>但仍需要努力确保所有缔约方的女性和男性平等参与三项公约的落实</w:t>
      </w:r>
      <w:r w:rsidRPr="001066BF">
        <w:rPr>
          <w:rFonts w:hint="eastAsia"/>
          <w:sz w:val="24"/>
          <w:lang w:val="en-GB"/>
        </w:rPr>
        <w:t>，</w:t>
      </w:r>
      <w:r w:rsidRPr="003554A8">
        <w:rPr>
          <w:sz w:val="24"/>
        </w:rPr>
        <w:t>确保他们在缔约方各机构和进程中的代表性</w:t>
      </w:r>
      <w:r w:rsidRPr="001066BF">
        <w:rPr>
          <w:rFonts w:hint="eastAsia"/>
          <w:sz w:val="24"/>
          <w:lang w:val="en-GB"/>
        </w:rPr>
        <w:t>，</w:t>
      </w:r>
      <w:r w:rsidRPr="003554A8">
        <w:rPr>
          <w:sz w:val="24"/>
        </w:rPr>
        <w:t>从而参与促进性别平等的危险化学品与废物政策并为之提供信息</w:t>
      </w:r>
      <w:r w:rsidRPr="001066BF">
        <w:rPr>
          <w:rFonts w:hint="eastAsia"/>
          <w:sz w:val="24"/>
          <w:lang w:val="en-GB"/>
        </w:rPr>
        <w:t>；</w:t>
      </w:r>
    </w:p>
    <w:p w:rsidR="00AB555B" w:rsidRPr="003554A8" w:rsidRDefault="00AB555B" w:rsidP="00AB555B">
      <w:pPr>
        <w:pStyle w:val="Normalnumber"/>
        <w:numPr>
          <w:ilvl w:val="6"/>
          <w:numId w:val="2"/>
        </w:numPr>
        <w:tabs>
          <w:tab w:val="clear" w:pos="1247"/>
          <w:tab w:val="clear" w:pos="1814"/>
          <w:tab w:val="clear" w:pos="2381"/>
          <w:tab w:val="clear" w:pos="2948"/>
          <w:tab w:val="clear" w:pos="3515"/>
          <w:tab w:val="clear" w:pos="4082"/>
          <w:tab w:val="left" w:pos="624"/>
          <w:tab w:val="left" w:pos="2430"/>
        </w:tabs>
        <w:ind w:left="1247" w:firstLine="624"/>
        <w:jc w:val="both"/>
        <w:rPr>
          <w:sz w:val="24"/>
        </w:rPr>
      </w:pPr>
      <w:r w:rsidRPr="003554A8">
        <w:rPr>
          <w:rFonts w:eastAsia="楷体"/>
          <w:sz w:val="24"/>
          <w:lang w:val="en-GB"/>
        </w:rPr>
        <w:t>请</w:t>
      </w:r>
      <w:r w:rsidRPr="003554A8">
        <w:rPr>
          <w:sz w:val="24"/>
        </w:rPr>
        <w:t>秘书处：</w:t>
      </w:r>
    </w:p>
    <w:p w:rsidR="00AB555B" w:rsidRPr="001066BF" w:rsidRDefault="00AB555B" w:rsidP="00AB555B">
      <w:pPr>
        <w:tabs>
          <w:tab w:val="left" w:pos="624"/>
          <w:tab w:val="left" w:pos="2430"/>
        </w:tabs>
        <w:spacing w:after="120"/>
        <w:ind w:left="1247" w:firstLine="553"/>
        <w:jc w:val="both"/>
        <w:rPr>
          <w:sz w:val="24"/>
          <w:lang w:val="fr-FR"/>
        </w:rPr>
      </w:pPr>
      <w:r w:rsidRPr="001066BF">
        <w:rPr>
          <w:sz w:val="24"/>
          <w:lang w:val="fr-FR"/>
        </w:rPr>
        <w:t xml:space="preserve">(a)    </w:t>
      </w:r>
      <w:r w:rsidRPr="003554A8">
        <w:rPr>
          <w:sz w:val="24"/>
        </w:rPr>
        <w:t>根据</w:t>
      </w:r>
      <w:r w:rsidRPr="001066BF">
        <w:rPr>
          <w:sz w:val="24"/>
          <w:lang w:val="fr-FR"/>
        </w:rPr>
        <w:t>BC-12/25</w:t>
      </w:r>
      <w:r w:rsidRPr="003554A8">
        <w:rPr>
          <w:sz w:val="24"/>
        </w:rPr>
        <w:t>号、</w:t>
      </w:r>
      <w:r w:rsidRPr="001066BF">
        <w:rPr>
          <w:sz w:val="24"/>
          <w:lang w:val="fr-FR"/>
        </w:rPr>
        <w:t>RC-7/15</w:t>
      </w:r>
      <w:r w:rsidRPr="003554A8">
        <w:rPr>
          <w:sz w:val="24"/>
        </w:rPr>
        <w:t>号和</w:t>
      </w:r>
      <w:r w:rsidRPr="001066BF">
        <w:rPr>
          <w:sz w:val="24"/>
          <w:lang w:val="fr-FR"/>
        </w:rPr>
        <w:t>SC-7/33</w:t>
      </w:r>
      <w:r w:rsidRPr="003554A8">
        <w:rPr>
          <w:sz w:val="24"/>
        </w:rPr>
        <w:t>号决定</w:t>
      </w:r>
      <w:r w:rsidRPr="001066BF">
        <w:rPr>
          <w:rFonts w:hint="eastAsia"/>
          <w:sz w:val="24"/>
          <w:lang w:val="fr-FR"/>
        </w:rPr>
        <w:t>，</w:t>
      </w:r>
      <w:r w:rsidRPr="003554A8">
        <w:rPr>
          <w:sz w:val="24"/>
        </w:rPr>
        <w:t>继续向</w:t>
      </w:r>
      <w:r w:rsidRPr="001066BF">
        <w:rPr>
          <w:sz w:val="24"/>
          <w:lang w:val="fr-FR"/>
        </w:rPr>
        <w:t>2019</w:t>
      </w:r>
      <w:r w:rsidRPr="003554A8">
        <w:rPr>
          <w:sz w:val="24"/>
        </w:rPr>
        <w:t>年各缔约方大会联会及随后的会议报告性别行动计划的执行情况</w:t>
      </w:r>
      <w:r w:rsidRPr="001066BF">
        <w:rPr>
          <w:rFonts w:hint="eastAsia"/>
          <w:sz w:val="24"/>
          <w:lang w:val="fr-FR"/>
        </w:rPr>
        <w:t>；</w:t>
      </w:r>
    </w:p>
    <w:p w:rsidR="00AB555B" w:rsidRPr="003554A8" w:rsidRDefault="00AB555B" w:rsidP="00AB555B">
      <w:pPr>
        <w:pStyle w:val="Normalnumber"/>
        <w:numPr>
          <w:ilvl w:val="0"/>
          <w:numId w:val="0"/>
        </w:numPr>
        <w:tabs>
          <w:tab w:val="clear" w:pos="1814"/>
          <w:tab w:val="left" w:pos="624"/>
          <w:tab w:val="left" w:pos="1710"/>
          <w:tab w:val="left" w:pos="2430"/>
        </w:tabs>
        <w:ind w:left="1247" w:firstLine="553"/>
        <w:jc w:val="both"/>
        <w:rPr>
          <w:iCs/>
          <w:sz w:val="24"/>
        </w:rPr>
      </w:pPr>
      <w:r w:rsidRPr="003554A8">
        <w:rPr>
          <w:sz w:val="24"/>
        </w:rPr>
        <w:t xml:space="preserve">(b)    </w:t>
      </w:r>
      <w:r w:rsidRPr="003554A8">
        <w:rPr>
          <w:sz w:val="24"/>
        </w:rPr>
        <w:t>更新性别行动计划以供各缔约方大会下次联会审议，使其在工作方案中考虑性别主流化，并制定监测进程的指标，从而使缔约方大会能够跟进计划的落实；</w:t>
      </w:r>
    </w:p>
    <w:p w:rsidR="00CF7497" w:rsidRPr="00AB555B" w:rsidRDefault="00CF7497" w:rsidP="00AB555B">
      <w:pPr>
        <w:spacing w:after="200" w:line="276" w:lineRule="auto"/>
        <w:jc w:val="both"/>
        <w:rPr>
          <w:b/>
          <w:sz w:val="24"/>
          <w:szCs w:val="28"/>
          <w:lang w:val="fr-FR"/>
        </w:rPr>
      </w:pPr>
      <w:bookmarkStart w:id="0" w:name="_GoBack"/>
      <w:bookmarkEnd w:id="0"/>
    </w:p>
    <w:sectPr w:rsidR="00CF7497" w:rsidRPr="00AB55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847" w:rsidRDefault="00782847" w:rsidP="00AB555B">
      <w:r>
        <w:separator/>
      </w:r>
    </w:p>
  </w:endnote>
  <w:endnote w:type="continuationSeparator" w:id="0">
    <w:p w:rsidR="00782847" w:rsidRDefault="00782847" w:rsidP="00AB5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847" w:rsidRDefault="00782847" w:rsidP="00AB555B">
      <w:r>
        <w:separator/>
      </w:r>
    </w:p>
  </w:footnote>
  <w:footnote w:type="continuationSeparator" w:id="0">
    <w:p w:rsidR="00782847" w:rsidRDefault="00782847" w:rsidP="00AB555B">
      <w:r>
        <w:continuationSeparator/>
      </w:r>
    </w:p>
  </w:footnote>
  <w:footnote w:id="1">
    <w:p w:rsidR="00AB555B" w:rsidRPr="00BA457B" w:rsidRDefault="00AB555B" w:rsidP="00AB555B">
      <w:pPr>
        <w:pStyle w:val="FootnoteText"/>
        <w:rPr>
          <w:sz w:val="20"/>
          <w:lang w:val="en-US"/>
        </w:rPr>
      </w:pPr>
      <w:r w:rsidRPr="002356FC">
        <w:rPr>
          <w:rStyle w:val="FootnoteReference"/>
          <w:rFonts w:eastAsiaTheme="majorEastAsia"/>
        </w:rPr>
        <w:footnoteRef/>
      </w:r>
      <w:r w:rsidRPr="00BA457B">
        <w:rPr>
          <w:sz w:val="20"/>
          <w:lang w:val="en-US"/>
        </w:rPr>
        <w:t xml:space="preserve"> UNEP/CHW.13/INF/46-UNEP/FAO/RC/COP.8/INF/32-UNEP/POPS/COP.8/INF/49, </w:t>
      </w:r>
      <w:r w:rsidRPr="002356FC">
        <w:rPr>
          <w:rFonts w:hint="eastAsia"/>
          <w:sz w:val="20"/>
        </w:rPr>
        <w:t>附件。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52A66A9D"/>
    <w:multiLevelType w:val="multilevel"/>
    <w:tmpl w:val="20A6C20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55B"/>
    <w:rsid w:val="00304CF0"/>
    <w:rsid w:val="00782847"/>
    <w:rsid w:val="009D258D"/>
    <w:rsid w:val="00AB555B"/>
    <w:rsid w:val="00C873CC"/>
    <w:rsid w:val="00CF7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84771"/>
  <w15:chartTrackingRefBased/>
  <w15:docId w15:val="{3C09902C-E051-42F2-A2E9-F4A16349A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B555B"/>
    <w:pPr>
      <w:spacing w:after="0" w:line="240" w:lineRule="auto"/>
    </w:pPr>
    <w:rPr>
      <w:rFonts w:ascii="Times New Roman" w:eastAsia="SimSu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AB555B"/>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AB555B"/>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AB555B"/>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AB555B"/>
    <w:rPr>
      <w:rFonts w:ascii="Times New Roman" w:eastAsia="SimSun" w:hAnsi="Times New Roman" w:cs="Times New Roman"/>
      <w:sz w:val="18"/>
      <w:szCs w:val="20"/>
      <w:lang w:val="fr-FR"/>
    </w:rPr>
  </w:style>
  <w:style w:type="character" w:customStyle="1" w:styleId="NormalnumberChar">
    <w:name w:val="Normal_number Char"/>
    <w:link w:val="Normalnumber"/>
    <w:qFormat/>
    <w:locked/>
    <w:rsid w:val="00AB555B"/>
    <w:rPr>
      <w:lang w:val="fr-FR"/>
    </w:rPr>
  </w:style>
  <w:style w:type="numbering" w:customStyle="1" w:styleId="Normallist">
    <w:name w:val="Normal_list"/>
    <w:basedOn w:val="NoList"/>
    <w:rsid w:val="00AB555B"/>
    <w:pPr>
      <w:numPr>
        <w:numId w:val="1"/>
      </w:numPr>
    </w:pPr>
  </w:style>
  <w:style w:type="paragraph" w:customStyle="1" w:styleId="Normalnumber">
    <w:name w:val="Normal_number"/>
    <w:basedOn w:val="Normal"/>
    <w:link w:val="NormalnumberChar"/>
    <w:qFormat/>
    <w:rsid w:val="00AB555B"/>
    <w:pPr>
      <w:numPr>
        <w:numId w:val="1"/>
      </w:numPr>
      <w:tabs>
        <w:tab w:val="left" w:pos="1247"/>
        <w:tab w:val="left" w:pos="1814"/>
        <w:tab w:val="left" w:pos="2381"/>
        <w:tab w:val="left" w:pos="2948"/>
        <w:tab w:val="left" w:pos="3515"/>
        <w:tab w:val="left" w:pos="4082"/>
      </w:tabs>
      <w:spacing w:after="120"/>
    </w:pPr>
    <w:rPr>
      <w:rFonts w:asciiTheme="minorHAnsi" w:eastAsiaTheme="minorEastAsia" w:hAnsiTheme="minorHAnsi" w:cstheme="minorBidi"/>
      <w:szCs w:val="22"/>
      <w:lang w:val="fr-FR"/>
    </w:rPr>
  </w:style>
  <w:style w:type="character" w:customStyle="1" w:styleId="Normal-poolChar">
    <w:name w:val="Normal-pool Char"/>
    <w:link w:val="Normal-pool"/>
    <w:rsid w:val="00AB555B"/>
    <w:rPr>
      <w:rFonts w:ascii="Times New Roman" w:eastAsia="SimSu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Words>
  <Characters>447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2018-01-30T14:11:00Z</dcterms:created>
  <dcterms:modified xsi:type="dcterms:W3CDTF">2018-01-30T14:11:00Z</dcterms:modified>
</cp:coreProperties>
</file>