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2385" w:rsidRPr="001066BF" w:rsidRDefault="00CF2385" w:rsidP="00CF2385">
      <w:pPr>
        <w:pStyle w:val="Normal-pool"/>
        <w:tabs>
          <w:tab w:val="clear" w:pos="1247"/>
          <w:tab w:val="clear" w:pos="1814"/>
          <w:tab w:val="clear" w:pos="2381"/>
          <w:tab w:val="clear" w:pos="2948"/>
          <w:tab w:val="clear" w:pos="3515"/>
          <w:tab w:val="left" w:pos="624"/>
        </w:tabs>
        <w:spacing w:after="120"/>
        <w:ind w:left="1276"/>
        <w:rPr>
          <w:rFonts w:eastAsia="SimHei"/>
          <w:b/>
          <w:spacing w:val="8"/>
          <w:sz w:val="28"/>
          <w:szCs w:val="28"/>
          <w:lang w:val="fr-FR"/>
        </w:rPr>
      </w:pPr>
      <w:r w:rsidRPr="001066BF">
        <w:rPr>
          <w:rFonts w:eastAsia="SimHei"/>
          <w:b/>
          <w:spacing w:val="8"/>
          <w:sz w:val="28"/>
          <w:szCs w:val="28"/>
          <w:lang w:val="fr-FR"/>
        </w:rPr>
        <w:t>RC-8/14</w:t>
      </w:r>
      <w:r w:rsidRPr="001066BF">
        <w:rPr>
          <w:rFonts w:eastAsia="SimHei" w:hint="eastAsia"/>
          <w:b/>
          <w:spacing w:val="8"/>
          <w:sz w:val="28"/>
          <w:szCs w:val="28"/>
          <w:lang w:val="fr-FR"/>
        </w:rPr>
        <w:t>：</w:t>
      </w:r>
      <w:r w:rsidRPr="003554A8">
        <w:rPr>
          <w:rFonts w:eastAsia="SimHei"/>
          <w:b/>
          <w:spacing w:val="8"/>
          <w:sz w:val="28"/>
          <w:szCs w:val="28"/>
        </w:rPr>
        <w:t>预防和打击危险化学品和废物非法贩运和贸易方面的协同增效</w:t>
      </w:r>
    </w:p>
    <w:p w:rsidR="00CF2385" w:rsidRPr="001066BF" w:rsidRDefault="00CF2385" w:rsidP="00CF2385">
      <w:pPr>
        <w:tabs>
          <w:tab w:val="left" w:pos="624"/>
        </w:tabs>
        <w:spacing w:after="120"/>
        <w:ind w:left="1247" w:firstLine="624"/>
        <w:jc w:val="both"/>
        <w:outlineLvl w:val="0"/>
        <w:rPr>
          <w:rFonts w:eastAsia="楷体"/>
          <w:sz w:val="24"/>
          <w:lang w:val="fr-FR"/>
        </w:rPr>
      </w:pPr>
      <w:r w:rsidRPr="003554A8">
        <w:rPr>
          <w:rFonts w:eastAsia="楷体"/>
          <w:sz w:val="24"/>
        </w:rPr>
        <w:t>缔约方大会</w:t>
      </w:r>
      <w:r w:rsidRPr="001066BF">
        <w:rPr>
          <w:rFonts w:eastAsia="楷体" w:hint="eastAsia"/>
          <w:sz w:val="24"/>
          <w:lang w:val="fr-FR"/>
        </w:rPr>
        <w:t>，</w:t>
      </w:r>
    </w:p>
    <w:p w:rsidR="00CF2385" w:rsidRPr="0088712D" w:rsidRDefault="00CF2385" w:rsidP="00CF2385">
      <w:pPr>
        <w:pStyle w:val="Normalpool"/>
        <w:tabs>
          <w:tab w:val="clear" w:pos="1247"/>
          <w:tab w:val="clear" w:pos="1814"/>
          <w:tab w:val="clear" w:pos="2381"/>
          <w:tab w:val="clear" w:pos="2948"/>
          <w:tab w:val="clear" w:pos="3515"/>
          <w:tab w:val="left" w:pos="624"/>
        </w:tabs>
        <w:spacing w:after="120"/>
        <w:ind w:left="1247" w:firstLine="624"/>
        <w:jc w:val="both"/>
        <w:rPr>
          <w:i/>
          <w:spacing w:val="6"/>
          <w:sz w:val="24"/>
        </w:rPr>
      </w:pPr>
      <w:r w:rsidRPr="003554A8">
        <w:rPr>
          <w:rFonts w:eastAsia="楷体"/>
          <w:sz w:val="24"/>
        </w:rPr>
        <w:t>注意到</w:t>
      </w:r>
      <w:r w:rsidRPr="003554A8">
        <w:rPr>
          <w:sz w:val="24"/>
        </w:rPr>
        <w:t>关于有效性评估的</w:t>
      </w:r>
      <w:r w:rsidRPr="003554A8">
        <w:rPr>
          <w:sz w:val="24"/>
        </w:rPr>
        <w:t>SC-8/18</w:t>
      </w:r>
      <w:r w:rsidRPr="003554A8">
        <w:rPr>
          <w:sz w:val="24"/>
        </w:rPr>
        <w:t>号决定承认的优先行动领域，它们涉及</w:t>
      </w:r>
      <w:r w:rsidRPr="0088712D">
        <w:rPr>
          <w:spacing w:val="6"/>
          <w:sz w:val="24"/>
        </w:rPr>
        <w:t>用于加强《关于持久性有机污染物的斯德哥尔摩公约》执行和实施的立法与规范，</w:t>
      </w:r>
    </w:p>
    <w:p w:rsidR="00CF2385" w:rsidRPr="003554A8" w:rsidRDefault="00CF2385" w:rsidP="00CF2385">
      <w:pPr>
        <w:pStyle w:val="Normalpool"/>
        <w:tabs>
          <w:tab w:val="clear" w:pos="1247"/>
          <w:tab w:val="clear" w:pos="1814"/>
          <w:tab w:val="clear" w:pos="2381"/>
          <w:tab w:val="clear" w:pos="2948"/>
          <w:tab w:val="clear" w:pos="3515"/>
          <w:tab w:val="left" w:pos="624"/>
        </w:tabs>
        <w:spacing w:after="120"/>
        <w:ind w:left="1247" w:firstLine="624"/>
        <w:jc w:val="both"/>
        <w:rPr>
          <w:sz w:val="24"/>
        </w:rPr>
      </w:pPr>
      <w:r w:rsidRPr="003554A8">
        <w:rPr>
          <w:rFonts w:eastAsia="楷体"/>
          <w:sz w:val="24"/>
          <w:lang w:val="en-GB"/>
        </w:rPr>
        <w:t>意识到</w:t>
      </w:r>
      <w:r w:rsidRPr="003554A8">
        <w:rPr>
          <w:sz w:val="24"/>
        </w:rPr>
        <w:t>关于国家立法、通知、《控制危险废物越境转移及其处置巴塞尔公约》的实施以及打击《公约》所涉非法贩运的行动的</w:t>
      </w:r>
      <w:r w:rsidRPr="003554A8">
        <w:rPr>
          <w:sz w:val="24"/>
        </w:rPr>
        <w:t>BC-13/10</w:t>
      </w:r>
      <w:r w:rsidRPr="003554A8">
        <w:rPr>
          <w:sz w:val="24"/>
        </w:rPr>
        <w:t>号决定，</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欢迎</w:t>
      </w:r>
      <w:r w:rsidRPr="003554A8">
        <w:rPr>
          <w:sz w:val="24"/>
        </w:rPr>
        <w:t>分析在预防和打击危险化学品与废物非法贩运和贸易过程中可行的协同增效，继续发展从《控制危险废物越境转移及其处置巴塞尔公约》中吸取的教训；</w:t>
      </w:r>
      <w:r w:rsidRPr="003554A8">
        <w:rPr>
          <w:rStyle w:val="FootnoteReference"/>
          <w:sz w:val="24"/>
          <w:lang w:val="en-GB"/>
        </w:rPr>
        <w:footnoteReference w:id="1"/>
      </w:r>
      <w:r w:rsidRPr="003554A8">
        <w:rPr>
          <w:sz w:val="24"/>
        </w:rPr>
        <w:t xml:space="preserve"> </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强调</w:t>
      </w:r>
      <w:r w:rsidRPr="003554A8">
        <w:rPr>
          <w:sz w:val="24"/>
        </w:rPr>
        <w:t>有效落实《关于在国际贸易中对某些危险化学品和农药采用事先知情同意程序的鹿特丹公约》的重要性，尤其是第</w:t>
      </w:r>
      <w:r w:rsidRPr="003554A8">
        <w:rPr>
          <w:sz w:val="24"/>
        </w:rPr>
        <w:t>11</w:t>
      </w:r>
      <w:r w:rsidRPr="003554A8">
        <w:rPr>
          <w:sz w:val="24"/>
        </w:rPr>
        <w:t>和</w:t>
      </w:r>
      <w:r w:rsidRPr="003554A8">
        <w:rPr>
          <w:sz w:val="24"/>
        </w:rPr>
        <w:t>12</w:t>
      </w:r>
      <w:r w:rsidRPr="003554A8">
        <w:rPr>
          <w:sz w:val="24"/>
        </w:rPr>
        <w:t>条，以预防并打击非法贸易危险化学品；</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着重指出</w:t>
      </w:r>
      <w:r w:rsidRPr="003554A8">
        <w:rPr>
          <w:sz w:val="24"/>
        </w:rPr>
        <w:t>在预防和打击非法贩运和贸易《巴塞尔公约》、《鹿特丹公约》以及《斯德哥尔摩公约》之下危险化学品与废物时，国家层面适足的法律和机构框架十分重要；</w:t>
      </w:r>
      <w:r w:rsidRPr="003554A8">
        <w:rPr>
          <w:sz w:val="24"/>
        </w:rPr>
        <w:t xml:space="preserve"> </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强调</w:t>
      </w:r>
      <w:r w:rsidRPr="003554A8">
        <w:rPr>
          <w:sz w:val="24"/>
        </w:rPr>
        <w:t>有必要确保互补和一致，并避免各公约规定的非法贩运和贸易的有关工作与联合国环境规划署和其他相关组织的类似工作重复；</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敦促</w:t>
      </w:r>
      <w:r w:rsidRPr="003554A8">
        <w:rPr>
          <w:sz w:val="24"/>
        </w:rPr>
        <w:t>各缔约方加强公约之下的行动，包括与其他缔约方合作，打击有害化学品与废物的非法贩运和贸易；</w:t>
      </w:r>
    </w:p>
    <w:p w:rsidR="00CF2385" w:rsidRPr="003554A8" w:rsidRDefault="00CF2385" w:rsidP="00CF2385">
      <w:pPr>
        <w:pStyle w:val="Normalnumber"/>
        <w:numPr>
          <w:ilvl w:val="0"/>
          <w:numId w:val="3"/>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强调</w:t>
      </w:r>
      <w:r w:rsidRPr="003554A8">
        <w:rPr>
          <w:sz w:val="24"/>
        </w:rPr>
        <w:t>各缔约方在每项公约之下提供给秘书处的关于其为落实公约而采取措施的信息十分重要，并请秘书处在信息不被相关缔约方视为保密时将其公布于公约网站，同时</w:t>
      </w:r>
      <w:proofErr w:type="gramStart"/>
      <w:r w:rsidRPr="003554A8">
        <w:rPr>
          <w:sz w:val="24"/>
        </w:rPr>
        <w:t>不</w:t>
      </w:r>
      <w:proofErr w:type="gramEnd"/>
      <w:r w:rsidRPr="003554A8">
        <w:rPr>
          <w:sz w:val="24"/>
        </w:rPr>
        <w:t>与其他公约之下的相关请求重复；</w:t>
      </w:r>
    </w:p>
    <w:p w:rsidR="00CF2385" w:rsidRPr="003554A8" w:rsidRDefault="00CF2385" w:rsidP="00CF2385">
      <w:pPr>
        <w:pStyle w:val="Normalnumber"/>
        <w:numPr>
          <w:ilvl w:val="0"/>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鼓励</w:t>
      </w:r>
      <w:r w:rsidRPr="003554A8">
        <w:rPr>
          <w:sz w:val="24"/>
        </w:rPr>
        <w:t>巴塞尔、鹿特丹和斯德哥尔摩至少两项公约的缔约方：</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553"/>
        <w:jc w:val="both"/>
        <w:rPr>
          <w:sz w:val="24"/>
        </w:rPr>
      </w:pPr>
      <w:r w:rsidRPr="003554A8">
        <w:rPr>
          <w:sz w:val="24"/>
        </w:rPr>
        <w:t>在还不存在协调机制的地方建立国家一级的协调机制，以便于负责执行和实施各项公约中旨在控制其所规定化学品与废物进出口的条款的相关当局、其他相关机构和私营部门交换信息；</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553"/>
        <w:jc w:val="both"/>
        <w:rPr>
          <w:sz w:val="24"/>
        </w:rPr>
      </w:pPr>
      <w:r w:rsidRPr="003554A8">
        <w:rPr>
          <w:sz w:val="24"/>
        </w:rPr>
        <w:t>通过那些协调机制审查从每一项公约吸取的教训，这有益于执行和实施其他公约，并酌情相应调整法律和机构框架；</w:t>
      </w:r>
    </w:p>
    <w:p w:rsidR="00CF2385" w:rsidRPr="003554A8" w:rsidRDefault="00CF2385" w:rsidP="00CF2385">
      <w:pPr>
        <w:pStyle w:val="Normalnumber"/>
        <w:numPr>
          <w:ilvl w:val="0"/>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lastRenderedPageBreak/>
        <w:t>邀请</w:t>
      </w:r>
      <w:r w:rsidRPr="003554A8">
        <w:rPr>
          <w:sz w:val="24"/>
        </w:rPr>
        <w:t>各缔约方通过秘书处与其他缔约方分享以下内容，并避免重复：</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553"/>
        <w:jc w:val="both"/>
        <w:rPr>
          <w:sz w:val="24"/>
        </w:rPr>
      </w:pPr>
      <w:r w:rsidRPr="003554A8">
        <w:rPr>
          <w:sz w:val="24"/>
        </w:rPr>
        <w:t>它们根据上述第</w:t>
      </w:r>
      <w:r w:rsidRPr="003554A8">
        <w:rPr>
          <w:sz w:val="24"/>
        </w:rPr>
        <w:t>7</w:t>
      </w:r>
      <w:r w:rsidRPr="003554A8">
        <w:rPr>
          <w:sz w:val="24"/>
        </w:rPr>
        <w:t>段所获得的经验；</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553"/>
        <w:jc w:val="both"/>
        <w:rPr>
          <w:sz w:val="24"/>
        </w:rPr>
      </w:pPr>
      <w:r w:rsidRPr="003554A8">
        <w:rPr>
          <w:sz w:val="24"/>
        </w:rPr>
        <w:t>关于危险化学品和废物非法贸易的信息；</w:t>
      </w:r>
    </w:p>
    <w:p w:rsidR="00CF2385" w:rsidRPr="003554A8" w:rsidRDefault="00CF2385" w:rsidP="00CF2385">
      <w:pPr>
        <w:pStyle w:val="Normalnumber"/>
        <w:numPr>
          <w:ilvl w:val="0"/>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邀请</w:t>
      </w:r>
      <w:r w:rsidRPr="003554A8">
        <w:rPr>
          <w:sz w:val="24"/>
        </w:rPr>
        <w:t>组织间健全管理化学品方案的成员组织、巴塞尔公约和斯德哥尔摩公约区域中心、国际刑事警察组织、世界海关组织、关于消耗臭氧层物质的蒙特利尔议定书秘书处以及相关的全球和区域执行网络通过秘书处，向缔约方大会提供关于其旨在预防和打击危险化学品与废物非法贩运和贸易的活动信息，以及从那些活动中吸取的教训，以供缔约方大会在下一次会议上审议；</w:t>
      </w:r>
    </w:p>
    <w:p w:rsidR="00CF2385" w:rsidRPr="003554A8" w:rsidRDefault="00CF2385" w:rsidP="00CF2385">
      <w:pPr>
        <w:pStyle w:val="Normalnumber"/>
        <w:numPr>
          <w:ilvl w:val="0"/>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rFonts w:eastAsia="楷体"/>
          <w:sz w:val="24"/>
          <w:lang w:val="en-GB"/>
        </w:rPr>
        <w:t>请</w:t>
      </w:r>
      <w:r w:rsidRPr="003554A8">
        <w:rPr>
          <w:sz w:val="24"/>
        </w:rPr>
        <w:t>秘书处：</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proofErr w:type="gramStart"/>
      <w:r w:rsidRPr="003554A8">
        <w:rPr>
          <w:sz w:val="24"/>
        </w:rPr>
        <w:t>视资源</w:t>
      </w:r>
      <w:proofErr w:type="gramEnd"/>
      <w:r w:rsidRPr="003554A8">
        <w:rPr>
          <w:sz w:val="24"/>
        </w:rPr>
        <w:t>可用情况，寻求缔约方和其他各方对更深入领域的意见，包括两或三份公约共同关注的领域，其中法律明确性可以得到改善，作为预防和打击非法贩运和贸易危险化学品与废物的方式，并且基于这些意见编写一份报告，包括建议，以供缔约方大会下次会议审议；</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sz w:val="24"/>
        </w:rPr>
        <w:t>应请求并在可用资源范围内，在关于执行和实施巴塞尔、鹿特丹和斯德哥尔摩公约中旨在控制三项公约所规定化学品与废物进出口的条款的事项上支持缔约方，包括编制和更新国家立法或其他措施等事项；</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sz w:val="24"/>
        </w:rPr>
        <w:t>编制将巴塞尔、鹿特丹和斯德哥尔摩公约条款融入国家法律框架的案例，并</w:t>
      </w:r>
      <w:proofErr w:type="gramStart"/>
      <w:r w:rsidRPr="003554A8">
        <w:rPr>
          <w:sz w:val="24"/>
        </w:rPr>
        <w:t>视资源</w:t>
      </w:r>
      <w:proofErr w:type="gramEnd"/>
      <w:r w:rsidRPr="003554A8">
        <w:rPr>
          <w:sz w:val="24"/>
        </w:rPr>
        <w:t>可用情况组织培训活动并与伙伴协作，以协助缔约方，特别是发展中国家缔约方和处于经济转型期的缔约方，发展国家立法和其他措施，以执行和实施各项公约中旨在控制其所规定化学品与废物进出口的条款；</w:t>
      </w:r>
    </w:p>
    <w:p w:rsidR="00CF2385" w:rsidRPr="003554A8" w:rsidRDefault="00CF2385" w:rsidP="00CF2385">
      <w:pPr>
        <w:pStyle w:val="Normalnumber"/>
        <w:numPr>
          <w:ilvl w:val="1"/>
          <w:numId w:val="2"/>
        </w:numPr>
        <w:tabs>
          <w:tab w:val="clear" w:pos="1247"/>
          <w:tab w:val="clear" w:pos="1814"/>
          <w:tab w:val="clear" w:pos="2381"/>
          <w:tab w:val="clear" w:pos="2948"/>
          <w:tab w:val="clear" w:pos="3515"/>
          <w:tab w:val="clear" w:pos="4082"/>
          <w:tab w:val="left" w:pos="624"/>
          <w:tab w:val="left" w:pos="2430"/>
        </w:tabs>
        <w:ind w:firstLine="624"/>
        <w:jc w:val="both"/>
        <w:rPr>
          <w:sz w:val="24"/>
        </w:rPr>
      </w:pPr>
      <w:r w:rsidRPr="003554A8">
        <w:rPr>
          <w:sz w:val="24"/>
        </w:rPr>
        <w:t>向缔约方大会下一次会议报告关于当前决定的执行情况。</w:t>
      </w:r>
    </w:p>
    <w:p w:rsidR="00CF7497" w:rsidRPr="00CF2385" w:rsidRDefault="00CF7497" w:rsidP="00CF2385">
      <w:pPr>
        <w:spacing w:after="200" w:line="276" w:lineRule="auto"/>
        <w:jc w:val="both"/>
        <w:rPr>
          <w:b/>
          <w:sz w:val="24"/>
          <w:szCs w:val="28"/>
        </w:rPr>
      </w:pPr>
      <w:bookmarkStart w:id="0" w:name="_GoBack"/>
      <w:bookmarkEnd w:id="0"/>
    </w:p>
    <w:sectPr w:rsidR="00CF7497" w:rsidRPr="00CF2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3249" w:rsidRDefault="00BB3249" w:rsidP="00AB555B">
      <w:r>
        <w:separator/>
      </w:r>
    </w:p>
  </w:endnote>
  <w:endnote w:type="continuationSeparator" w:id="0">
    <w:p w:rsidR="00BB3249" w:rsidRDefault="00BB3249" w:rsidP="00AB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3249" w:rsidRDefault="00BB3249" w:rsidP="00AB555B">
      <w:r>
        <w:separator/>
      </w:r>
    </w:p>
  </w:footnote>
  <w:footnote w:type="continuationSeparator" w:id="0">
    <w:p w:rsidR="00BB3249" w:rsidRDefault="00BB3249" w:rsidP="00AB555B">
      <w:r>
        <w:continuationSeparator/>
      </w:r>
    </w:p>
  </w:footnote>
  <w:footnote w:id="1">
    <w:p w:rsidR="00CF2385" w:rsidRPr="00BA457B" w:rsidRDefault="00CF2385" w:rsidP="00CF2385">
      <w:pPr>
        <w:pStyle w:val="FootnoteText"/>
        <w:rPr>
          <w:sz w:val="20"/>
          <w:lang w:val="en-US"/>
        </w:rPr>
      </w:pPr>
      <w:r w:rsidRPr="002356FC">
        <w:rPr>
          <w:rStyle w:val="FootnoteReference"/>
          <w:rFonts w:eastAsiaTheme="majorEastAsia"/>
        </w:rPr>
        <w:footnoteRef/>
      </w:r>
      <w:r w:rsidRPr="00BA457B">
        <w:rPr>
          <w:sz w:val="20"/>
          <w:lang w:val="en-US"/>
        </w:rPr>
        <w:t xml:space="preserve"> UNEP/CHW.13/INF/49-UNEP/FAO/RC/COP.8/INF/34-UNEP/POPS/COP.8/INF/51</w:t>
      </w:r>
      <w:r w:rsidRPr="002356FC">
        <w:rPr>
          <w:rFonts w:hint="eastAsia"/>
          <w:sz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4F87291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52A66A9D"/>
    <w:multiLevelType w:val="multilevel"/>
    <w:tmpl w:val="20A6C2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5B"/>
    <w:rsid w:val="00304CF0"/>
    <w:rsid w:val="009D258D"/>
    <w:rsid w:val="00AB555B"/>
    <w:rsid w:val="00BB3249"/>
    <w:rsid w:val="00C873CC"/>
    <w:rsid w:val="00CF2385"/>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4771"/>
  <w15:chartTrackingRefBased/>
  <w15:docId w15:val="{3C09902C-E051-42F2-A2E9-F4A16349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55B"/>
    <w:pPr>
      <w:spacing w:after="0" w:line="240" w:lineRule="auto"/>
    </w:pPr>
    <w:rPr>
      <w:rFonts w:ascii="Times New Roman" w:eastAsia="SimSu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B555B"/>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AB555B"/>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AB555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B555B"/>
    <w:rPr>
      <w:rFonts w:ascii="Times New Roman" w:eastAsia="SimSun" w:hAnsi="Times New Roman" w:cs="Times New Roman"/>
      <w:sz w:val="18"/>
      <w:szCs w:val="20"/>
      <w:lang w:val="fr-FR"/>
    </w:rPr>
  </w:style>
  <w:style w:type="character" w:customStyle="1" w:styleId="NormalnumberChar">
    <w:name w:val="Normal_number Char"/>
    <w:link w:val="Normalnumber"/>
    <w:qFormat/>
    <w:locked/>
    <w:rsid w:val="00AB555B"/>
    <w:rPr>
      <w:lang w:val="fr-FR"/>
    </w:rPr>
  </w:style>
  <w:style w:type="numbering" w:customStyle="1" w:styleId="Normallist">
    <w:name w:val="Normal_list"/>
    <w:basedOn w:val="NoList"/>
    <w:rsid w:val="00AB555B"/>
    <w:pPr>
      <w:numPr>
        <w:numId w:val="1"/>
      </w:numPr>
    </w:pPr>
  </w:style>
  <w:style w:type="paragraph" w:customStyle="1" w:styleId="Normalnumber">
    <w:name w:val="Normal_number"/>
    <w:basedOn w:val="Normal"/>
    <w:link w:val="NormalnumberChar"/>
    <w:qFormat/>
    <w:rsid w:val="00AB555B"/>
    <w:pPr>
      <w:numPr>
        <w:numId w:val="1"/>
      </w:numPr>
      <w:tabs>
        <w:tab w:val="left" w:pos="1247"/>
        <w:tab w:val="left" w:pos="1814"/>
        <w:tab w:val="left" w:pos="2381"/>
        <w:tab w:val="left" w:pos="2948"/>
        <w:tab w:val="left" w:pos="3515"/>
        <w:tab w:val="left" w:pos="4082"/>
      </w:tabs>
      <w:spacing w:after="120"/>
    </w:pPr>
    <w:rPr>
      <w:rFonts w:asciiTheme="minorHAnsi" w:eastAsiaTheme="minorEastAsia" w:hAnsiTheme="minorHAnsi" w:cstheme="minorBidi"/>
      <w:szCs w:val="22"/>
      <w:lang w:val="fr-FR"/>
    </w:rPr>
  </w:style>
  <w:style w:type="character" w:customStyle="1" w:styleId="Normal-poolChar">
    <w:name w:val="Normal-pool Char"/>
    <w:link w:val="Normal-pool"/>
    <w:rsid w:val="00AB555B"/>
    <w:rPr>
      <w:rFonts w:ascii="Times New Roman" w:eastAsia="SimSun" w:hAnsi="Times New Roman" w:cs="Times New Roman"/>
      <w:sz w:val="20"/>
      <w:szCs w:val="20"/>
      <w:lang w:val="en-GB"/>
    </w:rPr>
  </w:style>
  <w:style w:type="paragraph" w:customStyle="1" w:styleId="Normalpool">
    <w:name w:val="Normal_pool"/>
    <w:link w:val="NormalpoolChar"/>
    <w:rsid w:val="00CF238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rPr>
  </w:style>
  <w:style w:type="character" w:customStyle="1" w:styleId="NormalpoolChar">
    <w:name w:val="Normal_pool Char"/>
    <w:link w:val="Normalpool"/>
    <w:rsid w:val="00CF2385"/>
    <w:rPr>
      <w:rFonts w:ascii="Times New Roman" w:eastAsia="SimSu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2018-01-30T14:12:00Z</dcterms:created>
  <dcterms:modified xsi:type="dcterms:W3CDTF">2018-01-30T14:12:00Z</dcterms:modified>
</cp:coreProperties>
</file>