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05B" w:rsidRPr="00D2005B" w:rsidRDefault="00D2005B" w:rsidP="00D2005B">
      <w:pPr>
        <w:tabs>
          <w:tab w:val="left" w:pos="624"/>
          <w:tab w:val="left" w:pos="4082"/>
        </w:tabs>
        <w:spacing w:after="120" w:line="240" w:lineRule="auto"/>
        <w:ind w:left="1276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bookmarkStart w:id="0" w:name="_GoBack"/>
      <w:bookmarkEnd w:id="0"/>
      <w:r w:rsidRPr="00D2005B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RC</w:t>
      </w:r>
      <w:r w:rsidRPr="00D2005B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noBreakHyphen/>
        <w:t>8/14: Sinergias en la prevención y la lucha contra el tráfico y el comercio ilícitos de productos químicos y desechos peligrosos</w:t>
      </w:r>
    </w:p>
    <w:p w:rsidR="00D2005B" w:rsidRPr="00D2005B" w:rsidRDefault="00D2005B" w:rsidP="00D2005B">
      <w:pPr>
        <w:tabs>
          <w:tab w:val="left" w:pos="624"/>
          <w:tab w:val="left" w:pos="4082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i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La Conferencia de las Partes,</w:t>
      </w:r>
    </w:p>
    <w:p w:rsidR="00D2005B" w:rsidRPr="00D2005B" w:rsidRDefault="00D2005B" w:rsidP="00D2005B">
      <w:pPr>
        <w:tabs>
          <w:tab w:val="left" w:pos="624"/>
          <w:tab w:val="left" w:pos="4082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i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Haciendo notar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las esferas de acción prioritarias señaladas en la decisión SC-8/18, sobre la evaluación de la eficacia, que guardan relación con el fortalecimiento de las leyes y reglamentos para la aplicación y el cumplimiento del Convenio de Estocolmo sobre Contaminantes Orgánicos Persistentes,</w:t>
      </w:r>
    </w:p>
    <w:p w:rsidR="00D2005B" w:rsidRPr="00D2005B" w:rsidRDefault="00D2005B" w:rsidP="00D2005B">
      <w:pPr>
        <w:tabs>
          <w:tab w:val="left" w:pos="624"/>
          <w:tab w:val="left" w:pos="4082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Teniendo presente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 decisión BC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noBreakHyphen/>
        <w:t>13/10, sobre la legislación nacional, las notificaciones, el cumplimiento del Convenio de Basilea sobre el Control de los Movimientos Transfronterizos de los Desechos Peligrosos y su Eliminación y las actividades desplegadas contra el tráfico ilícito en el marco del Convenio,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Acoge con satisfacción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el análisis de las sinergias que pueden establecerse para prevenir y luchar contra el tráfico y el comercio ilícitos de productos químicos y desechos peligrosos a partir de la experiencia adquirida en el marco del Convenio de Basilea sobre el Control de los Movimientos Transfronterizos de Desechos Peligrosos y su Eliminación</w:t>
      </w:r>
      <w:r w:rsidRPr="00D2005B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1"/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; 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Pone de relieve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 importancia de la aplicación eficaz del Convenio de Rotterdam sobre el Procedimiento de Consentimiento Fundamentado Previo Aplicable a Ciertos Plaguicidas y Productos Químicos Peligrosos Objeto de Comercio Internacional, en particular los artículos 11 y 12, para prevenir y luchar contra el tráfico ilícito de productos químicos peligrosos;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Subraya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 importancia de contar con unos marcos jurídicos e institucionales adecuados a nivel nacional para prevenir y luchar contra el tráfico y el comercio ilícitos de productos químicos y desechos peligrosos en el marco del Convenio de Basilea, el Convenio de Estocolmo y el Convenio de Rotterdam; 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Pone de relieve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 necesidad de garantizar la complementariedad y la coherencia de la labor realizada en materia de tráfico y comercio ilícitos en el marco de los Convenios con la labor similar que llevan a cabo el Programa de las Naciones Unidas para el Medio Ambiente y otras organizaciones pertinentes, y de evitar la duplicación de ambas;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Insta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las Partes a fortalecer la adopción de medidas en el marco de los Convenios, entre ellas la cooperación con otras Partes, a fin de luchar contra el tráfico y el comercio ilícitos de productos químicos y desechos peligrosos;</w:t>
      </w:r>
    </w:p>
    <w:p w:rsidR="00D2005B" w:rsidRPr="00D2005B" w:rsidRDefault="00D2005B" w:rsidP="00D2005B">
      <w:pPr>
        <w:numPr>
          <w:ilvl w:val="0"/>
          <w:numId w:val="4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Pone de relieve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la importancia de la información aportada a la Secretaría por las Partes en cada uno de los Convenios sobre las medidas que han adoptado para aplicarlos, y pide a la Secretaría que publique en el sitio web del Convenio la información relativa al tráfico y el comercio ilícitos —siempre y cuando las Partes en cuestión no la hayan calificado de confidencial— sin duplicar las solicitudes similares que se hayan formulado en el marco de los otros Convenios;</w:t>
      </w:r>
    </w:p>
    <w:p w:rsidR="00D2005B" w:rsidRPr="00D2005B" w:rsidRDefault="00D2005B" w:rsidP="00D2005B">
      <w:pPr>
        <w:numPr>
          <w:ilvl w:val="0"/>
          <w:numId w:val="3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Alienta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las Partes en dos o más de los Convenios de Basilea, Estocolmo y Rotterdam a lo siguiente: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a)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Establecer, cuando aún no existan, mecanismos de coordinación a nivel nacional para facilitar el intercambio de información entre las autoridades competentes encargadas de la aplicación y el cumplimiento de las disposiciones de los Convenios que tengan por objeto controlar la exportación y la importación de los productos químicos y los desechos previstos en los Convenios, otras instituciones competentes y el sector privado;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b)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Examinar, mediante esos mecanismos de coordinación, las experiencias adquiridas en el marco de cada uno de los Convenios que podrían ser de ayuda para la aplicación y el cumplimiento de los otros, y ajustar sus marcos jurídicos e institucionales en consecuencia;</w:t>
      </w:r>
    </w:p>
    <w:p w:rsidR="00D2005B" w:rsidRPr="00D2005B" w:rsidRDefault="00D2005B" w:rsidP="00D2005B">
      <w:pPr>
        <w:numPr>
          <w:ilvl w:val="0"/>
          <w:numId w:val="3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lastRenderedPageBreak/>
        <w:t>Invita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las Partes a intercambiar con otras Partes, por conducto de la Secretaría, procurando evitar la duplicación, lo siguiente:</w:t>
      </w:r>
    </w:p>
    <w:p w:rsidR="00D2005B" w:rsidRPr="00D2005B" w:rsidRDefault="00D2005B" w:rsidP="00D2005B">
      <w:pPr>
        <w:tabs>
          <w:tab w:val="left" w:pos="624"/>
          <w:tab w:val="left" w:pos="243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>a)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Sus experiencias con arreglo al párrafo precedente;</w:t>
      </w:r>
    </w:p>
    <w:p w:rsidR="00D2005B" w:rsidRPr="00D2005B" w:rsidRDefault="00D2005B" w:rsidP="00D2005B">
      <w:pPr>
        <w:tabs>
          <w:tab w:val="left" w:pos="624"/>
          <w:tab w:val="left" w:pos="2430"/>
        </w:tabs>
        <w:spacing w:after="120" w:line="240" w:lineRule="auto"/>
        <w:ind w:left="1276" w:firstLine="567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>b)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Información sobre casos de comercio ilícito de productos químicos y desechos peligrosos;</w:t>
      </w:r>
    </w:p>
    <w:p w:rsidR="00D2005B" w:rsidRPr="00D2005B" w:rsidRDefault="00D2005B" w:rsidP="00D2005B">
      <w:pPr>
        <w:numPr>
          <w:ilvl w:val="0"/>
          <w:numId w:val="3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Invita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las organizaciones que integran el Programa Interinstitucional de Gestión Racional de los Productos Químicos, los centros regionales del Convenio de Basilea y el Convenio de Estocolmo, la Organización Internacional de Policía Criminal, la Organización Mundial de Aduanas, la Secretaría del Protocolo de Montreal relativo a las Sustancias que Agotan la Capa de Ozono y las redes mundiales y regionales pertinentes encargadas del cumplimiento a que presenten a la Conferencia de las Partes, por conducto de la Secretaría, información sobre su labor de prevención y lucha contra el tráfico y comercio ilícitos de productos químicos y desechos peligrosos y las enseñanzas extraídas de esa labor para su examen por la Conferencia de las Partes en su próxima reunión;</w:t>
      </w:r>
    </w:p>
    <w:p w:rsidR="00D2005B" w:rsidRPr="00D2005B" w:rsidRDefault="00D2005B" w:rsidP="00D2005B">
      <w:pPr>
        <w:numPr>
          <w:ilvl w:val="0"/>
          <w:numId w:val="3"/>
        </w:numPr>
        <w:tabs>
          <w:tab w:val="left" w:pos="624"/>
          <w:tab w:val="left" w:pos="2430"/>
        </w:tabs>
        <w:spacing w:after="120" w:line="240" w:lineRule="auto"/>
        <w:ind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i/>
          <w:iCs/>
          <w:sz w:val="20"/>
          <w:szCs w:val="20"/>
          <w:lang w:val="es-ES"/>
        </w:rPr>
        <w:t>Pide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a la Secretaría que: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a)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Recabe de las Partes y otros interesados, con sujeción a la disponibilidad de recursos, observaciones sobre otras esferas, en especial las comunes a dos de los Convenios o a los tres, en las que podría aumentarse la claridad jurídica como medio de prevención y lucha contra el tráfico y el comercio ilícitos de productos químicos y desechos peligrosos, y, a partir de esas observaciones, prepare un informe con recomendaciones para su examen por la Conferencia de las Partes en su próxima reunión;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b)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Apoye a las Partes, previa solicitud y con sujeción a la disponibilidad de recursos, en cuestiones relativas a la aplicación y el cumplimiento de las disposiciones de los Convenios de Basilea, Estocolmo y Rotterdam que tengan por objeto controlar la exportación y la importación de los productos químicos y los desechos previstos en los tres Convenios, entre ellas las relativas a la elaboración y actualización de la legislación nacional u otras medidas;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>c)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Prepare ejemplos de la integración de las disposiciones de los Convenios de Basilea, Estocolmo y Rotterdam en los marcos jurídicos nacionales y organice actividades de capacitación, con sujeción a la disponibilidad de recursos y en colaboración con los asociados, para ayudar a las Partes, en especial las que son países en desarrollo y países con economías en transición, en la elaboración de la legislación nacional y otras medidas necesarias para aplicar y hacer cumplir las disposiciones de los Convenios que tengan por objeto controlar la exportación y la importación de los productos químicos y los desechos previstos en los Convenios;</w:t>
      </w:r>
    </w:p>
    <w:p w:rsidR="00D2005B" w:rsidRPr="00D2005B" w:rsidRDefault="00D2005B" w:rsidP="00D2005B">
      <w:pPr>
        <w:spacing w:after="120" w:line="240" w:lineRule="auto"/>
        <w:ind w:left="1247" w:firstLine="624"/>
        <w:rPr>
          <w:rFonts w:ascii="Times New Roman" w:eastAsia="Times New Roman" w:hAnsi="Times New Roman" w:cs="Times New Roman"/>
          <w:sz w:val="20"/>
          <w:szCs w:val="20"/>
          <w:lang w:val="fr-FR"/>
        </w:rPr>
      </w:pP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>d)</w:t>
      </w:r>
      <w:r w:rsidRPr="00D2005B">
        <w:rPr>
          <w:rFonts w:ascii="Times New Roman" w:eastAsia="Times New Roman" w:hAnsi="Times New Roman" w:cs="Times New Roman"/>
          <w:sz w:val="20"/>
          <w:szCs w:val="20"/>
          <w:lang w:val="es-ES"/>
        </w:rPr>
        <w:tab/>
        <w:t>Informe a la Conferencia de las Partes en su próxima reunión sobre la aplicación de la presente decisión.</w:t>
      </w:r>
    </w:p>
    <w:p w:rsidR="0034514C" w:rsidRDefault="0034514C"/>
    <w:sectPr w:rsidR="0034514C" w:rsidSect="008F6D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6E1" w:rsidRDefault="004876E1" w:rsidP="00765AA3">
      <w:pPr>
        <w:spacing w:after="0" w:line="240" w:lineRule="auto"/>
      </w:pPr>
      <w:r>
        <w:separator/>
      </w:r>
    </w:p>
  </w:endnote>
  <w:endnote w:type="continuationSeparator" w:id="0">
    <w:p w:rsidR="004876E1" w:rsidRDefault="004876E1" w:rsidP="00765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6E1" w:rsidRDefault="004876E1" w:rsidP="00765AA3">
      <w:pPr>
        <w:spacing w:after="0" w:line="240" w:lineRule="auto"/>
      </w:pPr>
      <w:r>
        <w:separator/>
      </w:r>
    </w:p>
  </w:footnote>
  <w:footnote w:type="continuationSeparator" w:id="0">
    <w:p w:rsidR="004876E1" w:rsidRDefault="004876E1" w:rsidP="00765AA3">
      <w:pPr>
        <w:spacing w:after="0" w:line="240" w:lineRule="auto"/>
      </w:pPr>
      <w:r>
        <w:continuationSeparator/>
      </w:r>
    </w:p>
  </w:footnote>
  <w:footnote w:id="1">
    <w:p w:rsidR="00D2005B" w:rsidRPr="00C40627" w:rsidRDefault="00D2005B" w:rsidP="00D2005B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rFonts w:eastAsiaTheme="majorEastAsia"/>
          <w:lang w:val="es-ES"/>
        </w:rPr>
        <w:footnoteRef/>
      </w:r>
      <w:r w:rsidRPr="00C40627">
        <w:rPr>
          <w:szCs w:val="18"/>
          <w:lang w:val="es-ES"/>
        </w:rPr>
        <w:t xml:space="preserve"> UNEP/CHW.13/INF/49-UNEP/FAO/RC/COP.8/INF/34-UNEP/POPS/COP.8/INF/51.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">
    <w:nsid w:val="4F87291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">
    <w:nsid w:val="52A66A9D"/>
    <w:multiLevelType w:val="multilevel"/>
    <w:tmpl w:val="9DFC749A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">
    <w:abstractNumId w:val="2"/>
  </w:num>
  <w:num w:numId="3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AA3"/>
    <w:rsid w:val="0010700A"/>
    <w:rsid w:val="0034514C"/>
    <w:rsid w:val="004876E1"/>
    <w:rsid w:val="00765AA3"/>
    <w:rsid w:val="008F6D6A"/>
    <w:rsid w:val="00D20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765AA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765AA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765AA3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765AA3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uiPriority w:val="99"/>
    <w:rsid w:val="00765AA3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765AA3"/>
    <w:rPr>
      <w:lang w:val="fr-FR"/>
    </w:rPr>
  </w:style>
  <w:style w:type="numbering" w:customStyle="1" w:styleId="Normallist">
    <w:name w:val="Normal_list"/>
    <w:basedOn w:val="NoList"/>
    <w:rsid w:val="00765AA3"/>
    <w:pPr>
      <w:numPr>
        <w:numId w:val="2"/>
      </w:numPr>
    </w:pPr>
  </w:style>
  <w:style w:type="paragraph" w:customStyle="1" w:styleId="Normalnumber">
    <w:name w:val="Normal_number"/>
    <w:basedOn w:val="Normalpool"/>
    <w:link w:val="NormalnumberChar"/>
    <w:rsid w:val="00765AA3"/>
    <w:pPr>
      <w:numPr>
        <w:numId w:val="1"/>
      </w:numPr>
      <w:tabs>
        <w:tab w:val="clear" w:pos="1134"/>
        <w:tab w:val="num" w:pos="360"/>
      </w:tabs>
      <w:spacing w:after="120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rmal-poolChar">
    <w:name w:val="Normal-pool Char"/>
    <w:link w:val="Normal-pool"/>
    <w:rsid w:val="00765AA3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765AA3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pool">
    <w:name w:val="Normal_pool"/>
    <w:link w:val="NormalpoolChar"/>
    <w:rsid w:val="00765AA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Normal-pool">
    <w:name w:val="Normal-pool"/>
    <w:link w:val="Normal-poolChar"/>
    <w:rsid w:val="00765AA3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765AA3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pool"/>
    <w:link w:val="FootnoteTextChar"/>
    <w:rsid w:val="00765AA3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765AA3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765AA3"/>
    <w:rPr>
      <w:lang w:val="fr-FR"/>
    </w:rPr>
  </w:style>
  <w:style w:type="numbering" w:customStyle="1" w:styleId="Normallist">
    <w:name w:val="Normal_list"/>
    <w:basedOn w:val="NoList"/>
    <w:rsid w:val="00765AA3"/>
    <w:pPr>
      <w:numPr>
        <w:numId w:val="1"/>
      </w:numPr>
    </w:pPr>
  </w:style>
  <w:style w:type="paragraph" w:customStyle="1" w:styleId="Normalnumber">
    <w:name w:val="Normal_number"/>
    <w:basedOn w:val="Normalpool"/>
    <w:link w:val="NormalnumberChar"/>
    <w:rsid w:val="00765AA3"/>
    <w:pPr>
      <w:numPr>
        <w:numId w:val="1"/>
      </w:numPr>
      <w:tabs>
        <w:tab w:val="clear" w:pos="1134"/>
        <w:tab w:val="num" w:pos="360"/>
      </w:tabs>
      <w:spacing w:after="120"/>
      <w:ind w:left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ormal-poolChar">
    <w:name w:val="Normal-pool Char"/>
    <w:link w:val="Normal-pool"/>
    <w:rsid w:val="00765AA3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poolChar">
    <w:name w:val="Normal_pool Char"/>
    <w:link w:val="Normalpool"/>
    <w:rsid w:val="00765AA3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959</Words>
  <Characters>5467</Characters>
  <Application>Microsoft Office Word</Application>
  <DocSecurity>0</DocSecurity>
  <Lines>45</Lines>
  <Paragraphs>12</Paragraphs>
  <ScaleCrop>false</ScaleCrop>
  <Company>UNEP/BRS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achakwera</cp:lastModifiedBy>
  <cp:revision>2</cp:revision>
  <dcterms:created xsi:type="dcterms:W3CDTF">2018-01-29T15:05:00Z</dcterms:created>
  <dcterms:modified xsi:type="dcterms:W3CDTF">2018-02-01T11:26:00Z</dcterms:modified>
</cp:coreProperties>
</file>