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34" w:rsidRPr="003478B3" w:rsidRDefault="00355834" w:rsidP="00355834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РК-8/15: От науки – к действиям</w:t>
      </w:r>
    </w:p>
    <w:p w:rsidR="00355834" w:rsidRPr="003478B3" w:rsidRDefault="00355834" w:rsidP="00355834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особо отмечает</w:t>
      </w:r>
      <w:r w:rsidRPr="003478B3">
        <w:rPr>
          <w:lang w:val="ru-RU"/>
        </w:rPr>
        <w:t>, что ее вспомогательными органами, группами экспертов и другими соответствующими механизмами, в том числе с участием других партнеров, обеспечиваются необходимые процессы для проведения научной работы и принятия решений в рамках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и приветствует их работу в этой связи;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подчеркивает </w:t>
      </w:r>
      <w:r w:rsidRPr="003478B3">
        <w:rPr>
          <w:lang w:val="ru-RU"/>
        </w:rPr>
        <w:t>значение взаимодействия (и необходимость его улучшения) между учеными, лицами, отвечающими за разработку политики, и другими субъектами, участвующими в процессе выработки политики, для содействия обмену, расширению и совместному формированию знаний с целью принятия более обоснованных решений для достижения целей конвенций;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призывает</w:t>
      </w:r>
      <w:r w:rsidRPr="003478B3">
        <w:rPr>
          <w:lang w:val="ru-RU"/>
        </w:rPr>
        <w:t xml:space="preserve"> Стороны и других заинтересованных субъектов приступить к проведению мероприятий, направленных на содействие принятию научно обоснованных решений и мер в ходе осуществления конвенций на национальном уровне;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принимает к сведению </w:t>
      </w:r>
      <w:r w:rsidRPr="003478B3">
        <w:rPr>
          <w:lang w:val="ru-RU"/>
        </w:rPr>
        <w:t>подготовленный секретариатом проект «дорожной карты» для дальнейшего вовлечения Сторон и других заинтересованных субъектов в осмысленный диалог с целью расширения научно обоснованной деятельности при осуществления конвенций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поручает </w:t>
      </w:r>
      <w:r w:rsidRPr="003478B3">
        <w:rPr>
          <w:lang w:val="ru-RU"/>
        </w:rPr>
        <w:t>секретариату при условии наличия ресурсов и, в случае целесообразности, в сотрудничестве с региональными центрами провести мероприятия по созданию потенциала и подготовке кадров в целях оказания Сторонам поддержки в принятии научно обоснованных решений и мер по осуществлению Базельской, Роттердамской и Стокгольмской конвенций;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приветствует </w:t>
      </w:r>
      <w:r w:rsidRPr="003478B3">
        <w:rPr>
          <w:lang w:val="ru-RU"/>
        </w:rPr>
        <w:t>достигнутый по настоящее время прогресс и поручает секретариату до 30 сентября 2017 года подготовить новую редакцию проекта «дорожной карты», одним из центральных элементов которой станет переход от многостороннего диалога к принятию мер на национальном и региональном уровнях, избегая дублирования и несоответствий с имеющимися механизмами и учитывая мнения, выраженные Сторонами в ходе конференций Сторон трех конвенций на их совещаниях в 2017 году;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и другим субъектам представить замечания в отношении новой редакции «дорожной карты» до 28 февраля 2018 года;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8.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Базельской, Роттердамской и Стокгольмской конвенций до 30 июня 2017 года через своих представителей в бюро назначить до четырех экспертов от каждого региона Организации Объединенных Наций для оказания помощи секретариату в деле подготовки новой редакции проекта «дорожной карты», работая с применением электронных средств, а также поручает секретариату подготовить окончательную редакцию проекта, одним из центральных элементов которого станет укрепление научно обоснованных мер на национальном и региональном уровнях, в частности в том, что касается раздела 4.2 и дополнения 1 имеющегося проекта «дорожной карты»</w:t>
      </w:r>
      <w:r w:rsidRPr="003478B3">
        <w:rPr>
          <w:vertAlign w:val="superscript"/>
          <w:lang w:val="ru-RU"/>
        </w:rPr>
        <w:footnoteReference w:id="2"/>
      </w:r>
      <w:r w:rsidRPr="003478B3">
        <w:rPr>
          <w:lang w:val="ru-RU"/>
        </w:rPr>
        <w:t>, для рассмотрения конференциями Сторон на их следующих совещаниях;</w:t>
      </w:r>
    </w:p>
    <w:p w:rsidR="00355834" w:rsidRPr="003478B3" w:rsidRDefault="00355834" w:rsidP="00355834">
      <w:pPr>
        <w:ind w:left="1247" w:firstLine="624"/>
        <w:rPr>
          <w:lang w:val="ru-RU"/>
        </w:rPr>
      </w:pPr>
      <w:r w:rsidRPr="003478B3">
        <w:rPr>
          <w:lang w:val="ru-RU"/>
        </w:rPr>
        <w:t>9.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осуществлять сотрудничество и координацию с Программой Организации Объединенных Наций по окружающей среде и другими соответствующими организациями, научными органами и заинтересованными субъектами в </w:t>
      </w:r>
      <w:r w:rsidRPr="003478B3">
        <w:rPr>
          <w:lang w:val="ru-RU"/>
        </w:rPr>
        <w:lastRenderedPageBreak/>
        <w:t>целях укрепления научно-политического взаимодействия и представить конференциям Сторон на их совещаниях в 2019 году доклад о выполнении настоящего решения.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CB9" w:rsidRDefault="00A65CB9" w:rsidP="00355834">
      <w:pPr>
        <w:spacing w:after="0"/>
      </w:pPr>
      <w:r>
        <w:separator/>
      </w:r>
    </w:p>
  </w:endnote>
  <w:endnote w:type="continuationSeparator" w:id="0">
    <w:p w:rsidR="00A65CB9" w:rsidRDefault="00A65CB9" w:rsidP="0035583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CB9" w:rsidRDefault="00A65CB9" w:rsidP="00355834">
      <w:pPr>
        <w:spacing w:after="0"/>
      </w:pPr>
      <w:r>
        <w:separator/>
      </w:r>
    </w:p>
  </w:footnote>
  <w:footnote w:type="continuationSeparator" w:id="0">
    <w:p w:rsidR="00A65CB9" w:rsidRDefault="00A65CB9" w:rsidP="00355834">
      <w:pPr>
        <w:spacing w:after="0"/>
      </w:pPr>
      <w:r>
        <w:continuationSeparator/>
      </w:r>
    </w:p>
  </w:footnote>
  <w:footnote w:id="1">
    <w:p w:rsidR="00355834" w:rsidRPr="00BC3D09" w:rsidRDefault="00355834" w:rsidP="0035583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 xml:space="preserve">UNEP/CHW.13/INF/50-UNEP/FAO/RC/COP.8/INF/35-UNEP/POPS/COP.8/INF/52,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  <w:lang w:val="en-US"/>
        </w:rPr>
        <w:t xml:space="preserve"> I.</w:t>
      </w:r>
    </w:p>
  </w:footnote>
  <w:footnote w:id="2">
    <w:p w:rsidR="00355834" w:rsidRPr="00BC3D09" w:rsidRDefault="00355834" w:rsidP="0035583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</w:r>
      <w:r w:rsidRPr="00BC3D09">
        <w:rPr>
          <w:szCs w:val="18"/>
          <w:lang w:val="ru-RU"/>
        </w:rPr>
        <w:t>Там</w:t>
      </w:r>
      <w:r w:rsidRPr="00BC3D09">
        <w:rPr>
          <w:szCs w:val="18"/>
          <w:lang w:val="en-US"/>
        </w:rPr>
        <w:t xml:space="preserve"> </w:t>
      </w:r>
      <w:r w:rsidRPr="00BC3D09">
        <w:rPr>
          <w:szCs w:val="18"/>
          <w:lang w:val="ru-RU"/>
        </w:rPr>
        <w:t>же</w:t>
      </w:r>
      <w:r w:rsidRPr="00BC3D09">
        <w:rPr>
          <w:szCs w:val="18"/>
          <w:lang w:val="en-US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5834"/>
    <w:rsid w:val="00355834"/>
    <w:rsid w:val="006B304F"/>
    <w:rsid w:val="00A65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5583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355834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35583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355834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2974</Characters>
  <Application>Microsoft Office Word</Application>
  <DocSecurity>0</DocSecurity>
  <Lines>24</Lines>
  <Paragraphs>6</Paragraphs>
  <ScaleCrop>false</ScaleCrop>
  <Company>BRS</Company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2018-01-29T16:05:00Z</dcterms:created>
  <dcterms:modified xsi:type="dcterms:W3CDTF">2018-01-29T16:05:00Z</dcterms:modified>
</cp:coreProperties>
</file>