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86C" w:rsidRPr="0024275F" w:rsidRDefault="006B286C" w:rsidP="006B286C">
      <w:pPr>
        <w:tabs>
          <w:tab w:val="left" w:pos="1842"/>
        </w:tabs>
        <w:spacing w:after="120" w:line="400" w:lineRule="exact"/>
        <w:ind w:left="1134"/>
        <w:jc w:val="both"/>
        <w:rPr>
          <w:rFonts w:ascii="Traditional Arabic" w:hAnsi="Traditional Arabic"/>
          <w:b/>
          <w:bCs/>
          <w:noProof w:val="0"/>
          <w:sz w:val="32"/>
          <w:szCs w:val="32"/>
          <w:lang w:val="en-GB" w:eastAsia="zh-TW"/>
        </w:rPr>
      </w:pP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المقرر </w:t>
      </w:r>
      <w:r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>ا</w:t>
      </w: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 ر-8/3: إدراج </w:t>
      </w:r>
      <w:r>
        <w:rPr>
          <w:rFonts w:ascii="Calibri" w:eastAsia="Calibri" w:hAnsi="Calibri" w:cs="Traditional Arabic" w:hint="cs"/>
          <w:bCs/>
          <w:noProof w:val="0"/>
          <w:sz w:val="24"/>
          <w:szCs w:val="34"/>
          <w:rtl/>
          <w:lang w:bidi="ar-EG"/>
        </w:rPr>
        <w:t>الترايكلورفون</w:t>
      </w: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 في المرفق الثالث لاتفاقية روتردام</w:t>
      </w:r>
    </w:p>
    <w:p w:rsidR="006B286C" w:rsidRPr="004574FB" w:rsidRDefault="006B286C" w:rsidP="006B286C">
      <w:pPr>
        <w:tabs>
          <w:tab w:val="left" w:pos="2551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4574FB">
        <w:rPr>
          <w:rFonts w:ascii="Calibri" w:eastAsia="Calibri" w:hAnsi="Calibri" w:cs="Traditional Arabic"/>
          <w:i/>
          <w:iCs/>
          <w:noProof w:val="0"/>
          <w:szCs w:val="30"/>
          <w:rtl/>
        </w:rPr>
        <w:t>إن مؤتمر الأطراف،</w:t>
      </w:r>
    </w:p>
    <w:p w:rsidR="006B286C" w:rsidRPr="000D1C1F" w:rsidRDefault="006B286C" w:rsidP="006B286C">
      <w:pPr>
        <w:tabs>
          <w:tab w:val="left" w:pos="1842"/>
          <w:tab w:val="left" w:pos="2551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 xml:space="preserve">إذ يلاحظ مع التقدير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عمل لجنة استعراض المواد الكيميائية،</w:t>
      </w:r>
    </w:p>
    <w:p w:rsidR="006B286C" w:rsidRPr="000D1C1F" w:rsidRDefault="006B286C" w:rsidP="006B286C">
      <w:pPr>
        <w:tabs>
          <w:tab w:val="left" w:pos="1842"/>
          <w:tab w:val="left" w:pos="2551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>وقد نظر في</w:t>
      </w: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 xml:space="preserve">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توصية لجنة استعراض المواد الكيميائية </w:t>
      </w:r>
      <w:r>
        <w:rPr>
          <w:rFonts w:ascii="Calibri" w:eastAsia="Calibri" w:hAnsi="Calibri" w:cs="Traditional Arabic"/>
          <w:noProof w:val="0"/>
          <w:szCs w:val="30"/>
          <w:rtl/>
        </w:rPr>
        <w:t>بإخضاع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>
        <w:rPr>
          <w:rFonts w:ascii="Calibri" w:eastAsia="Calibri" w:hAnsi="Calibri" w:cs="Traditional Arabic" w:hint="cs"/>
          <w:noProof w:val="0"/>
          <w:szCs w:val="30"/>
          <w:rtl/>
          <w:lang w:bidi="ar-EG"/>
        </w:rPr>
        <w:t xml:space="preserve">الترايكلورفون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لإجراء الموافقة المسبقة عن علم 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وإدراجه، وفقاً لذلك، كمبيد آفات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في المرفق الثالث لاتفاقية روتردام </w:t>
      </w:r>
      <w:r>
        <w:rPr>
          <w:rFonts w:ascii="Calibri" w:eastAsia="Calibri" w:hAnsi="Calibri" w:cs="Traditional Arabic"/>
          <w:noProof w:val="0"/>
          <w:szCs w:val="30"/>
          <w:rtl/>
        </w:rPr>
        <w:t>المتعلقة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>
        <w:rPr>
          <w:rFonts w:ascii="Calibri" w:eastAsia="Calibri" w:hAnsi="Calibri" w:cs="Traditional Arabic"/>
          <w:noProof w:val="0"/>
          <w:szCs w:val="30"/>
          <w:rtl/>
        </w:rPr>
        <w:t>ب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تطبيق إجراء الموافقة المسبقة عن علم على مواد كيميائية ومبيدات آفات معينة </w:t>
      </w:r>
      <w:r>
        <w:rPr>
          <w:rFonts w:ascii="Calibri" w:eastAsia="Calibri" w:hAnsi="Calibri" w:cs="Traditional Arabic"/>
          <w:noProof w:val="0"/>
          <w:szCs w:val="30"/>
          <w:rtl/>
        </w:rPr>
        <w:t>خطرة متداولة في التجارة الدولية،</w:t>
      </w:r>
    </w:p>
    <w:p w:rsidR="006B286C" w:rsidRPr="000D1C1F" w:rsidRDefault="006B286C" w:rsidP="006B286C">
      <w:pPr>
        <w:tabs>
          <w:tab w:val="left" w:pos="2551"/>
        </w:tabs>
        <w:spacing w:after="120" w:line="400" w:lineRule="exact"/>
        <w:ind w:left="1134" w:firstLine="566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>وقد اقتنع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بأن جميع </w:t>
      </w:r>
      <w:r>
        <w:rPr>
          <w:rFonts w:ascii="Calibri" w:eastAsia="Calibri" w:hAnsi="Calibri" w:cs="Traditional Arabic"/>
          <w:noProof w:val="0"/>
          <w:szCs w:val="30"/>
          <w:rtl/>
        </w:rPr>
        <w:t>شروط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الإدراج 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في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المرفق الثال</w:t>
      </w:r>
      <w:r>
        <w:rPr>
          <w:rFonts w:ascii="Calibri" w:eastAsia="Calibri" w:hAnsi="Calibri" w:cs="Traditional Arabic"/>
          <w:noProof w:val="0"/>
          <w:szCs w:val="30"/>
          <w:rtl/>
        </w:rPr>
        <w:t>ث لاتفاقية روتردام قد استُوفيت،</w:t>
      </w:r>
    </w:p>
    <w:p w:rsidR="006B286C" w:rsidRPr="000D1C1F" w:rsidRDefault="006B286C" w:rsidP="006B286C">
      <w:pPr>
        <w:tabs>
          <w:tab w:val="left" w:pos="2267"/>
          <w:tab w:val="left" w:pos="2551"/>
        </w:tabs>
        <w:spacing w:after="240" w:line="400" w:lineRule="exact"/>
        <w:ind w:left="1134" w:firstLine="567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9A2362">
        <w:rPr>
          <w:rFonts w:ascii="Calibri" w:eastAsia="Calibri" w:hAnsi="Calibri" w:cs="Traditional Arabic"/>
          <w:noProof w:val="0"/>
          <w:szCs w:val="30"/>
          <w:rtl/>
        </w:rPr>
        <w:t>1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>-</w:t>
      </w:r>
      <w:r>
        <w:rPr>
          <w:rFonts w:ascii="Calibri" w:eastAsia="Calibri" w:hAnsi="Calibri" w:cs="Traditional Arabic"/>
          <w:i/>
          <w:iCs/>
          <w:noProof w:val="0"/>
          <w:szCs w:val="30"/>
          <w:rtl/>
        </w:rPr>
        <w:tab/>
      </w:r>
      <w:r w:rsidRPr="000D1C1F">
        <w:rPr>
          <w:rFonts w:ascii="Calibri" w:eastAsia="Calibri" w:hAnsi="Calibri" w:cs="Traditional Arabic"/>
          <w:i/>
          <w:iCs/>
          <w:noProof w:val="0"/>
          <w:szCs w:val="30"/>
          <w:rtl/>
        </w:rPr>
        <w:t xml:space="preserve">يقرر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تعديل المرفق الثالث لاتفاقية روتردام من أجل إ</w:t>
      </w:r>
      <w:r>
        <w:rPr>
          <w:rFonts w:ascii="Calibri" w:eastAsia="Calibri" w:hAnsi="Calibri" w:cs="Traditional Arabic"/>
          <w:noProof w:val="0"/>
          <w:szCs w:val="30"/>
          <w:rtl/>
        </w:rPr>
        <w:t>دراج المادة الكيميائية التالية:</w:t>
      </w:r>
    </w:p>
    <w:tbl>
      <w:tblPr>
        <w:bidiVisual/>
        <w:tblW w:w="8222" w:type="dxa"/>
        <w:tblInd w:w="1242" w:type="dxa"/>
        <w:tblBorders>
          <w:top w:val="single" w:sz="12" w:space="0" w:color="auto"/>
          <w:bottom w:val="single" w:sz="12" w:space="0" w:color="auto"/>
        </w:tblBorders>
        <w:tblLayout w:type="fixed"/>
        <w:tblLook w:val="01E0"/>
      </w:tblPr>
      <w:tblGrid>
        <w:gridCol w:w="3544"/>
        <w:gridCol w:w="2835"/>
        <w:gridCol w:w="1843"/>
      </w:tblGrid>
      <w:tr w:rsidR="006B286C" w:rsidRPr="000D1C1F" w:rsidTr="003A3A2C">
        <w:tc>
          <w:tcPr>
            <w:tcW w:w="3544" w:type="dxa"/>
            <w:tcBorders>
              <w:top w:val="single" w:sz="8" w:space="0" w:color="auto"/>
              <w:bottom w:val="single" w:sz="12" w:space="0" w:color="auto"/>
            </w:tcBorders>
          </w:tcPr>
          <w:p w:rsidR="006B286C" w:rsidRPr="008D4B68" w:rsidRDefault="006B286C" w:rsidP="003A3A2C">
            <w:pPr>
              <w:keepNext/>
              <w:spacing w:after="120" w:line="400" w:lineRule="exact"/>
              <w:jc w:val="both"/>
              <w:rPr>
                <w:rFonts w:cs="Traditional Arabic"/>
                <w:bCs/>
                <w:noProof w:val="0"/>
                <w:snapToGrid w:val="0"/>
                <w:sz w:val="28"/>
                <w:lang w:val="en-GB"/>
              </w:rPr>
            </w:pP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المادة الكيميائية</w:t>
            </w:r>
          </w:p>
        </w:tc>
        <w:tc>
          <w:tcPr>
            <w:tcW w:w="2835" w:type="dxa"/>
            <w:tcBorders>
              <w:top w:val="single" w:sz="8" w:space="0" w:color="auto"/>
              <w:bottom w:val="single" w:sz="12" w:space="0" w:color="auto"/>
            </w:tcBorders>
          </w:tcPr>
          <w:p w:rsidR="006B286C" w:rsidRPr="006219DA" w:rsidRDefault="006B286C" w:rsidP="003A3A2C">
            <w:pPr>
              <w:spacing w:after="120" w:line="400" w:lineRule="exact"/>
              <w:jc w:val="both"/>
              <w:rPr>
                <w:rFonts w:cs="Traditional Arabic"/>
                <w:bCs/>
                <w:noProof w:val="0"/>
                <w:snapToGrid w:val="0"/>
                <w:sz w:val="28"/>
                <w:lang w:val="en-GB"/>
              </w:rPr>
            </w:pPr>
            <w:r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الرقم/</w:t>
            </w: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 xml:space="preserve">الأرقام ذات الصلة في سجل </w:t>
            </w:r>
            <w:r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 xml:space="preserve">دائرة </w:t>
            </w: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المستخلصات الكيميائية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12" w:space="0" w:color="auto"/>
            </w:tcBorders>
          </w:tcPr>
          <w:p w:rsidR="006B286C" w:rsidRPr="006219DA" w:rsidRDefault="006B286C" w:rsidP="003A3A2C">
            <w:pPr>
              <w:spacing w:after="120" w:line="400" w:lineRule="exact"/>
              <w:jc w:val="both"/>
              <w:rPr>
                <w:rFonts w:cs="Traditional Arabic"/>
                <w:bCs/>
                <w:noProof w:val="0"/>
                <w:snapToGrid w:val="0"/>
                <w:sz w:val="28"/>
                <w:lang w:val="en-GB"/>
              </w:rPr>
            </w:pPr>
            <w:r w:rsidRPr="008D4B68">
              <w:rPr>
                <w:rFonts w:cs="Traditional Arabic"/>
                <w:bCs/>
                <w:noProof w:val="0"/>
                <w:snapToGrid w:val="0"/>
                <w:sz w:val="28"/>
                <w:rtl/>
                <w:lang w:val="en-GB"/>
              </w:rPr>
              <w:t>الفئة</w:t>
            </w:r>
          </w:p>
        </w:tc>
      </w:tr>
      <w:tr w:rsidR="006B286C" w:rsidRPr="000D1C1F" w:rsidTr="003A3A2C">
        <w:tc>
          <w:tcPr>
            <w:tcW w:w="3544" w:type="dxa"/>
            <w:tcBorders>
              <w:top w:val="single" w:sz="12" w:space="0" w:color="auto"/>
              <w:bottom w:val="single" w:sz="12" w:space="0" w:color="auto"/>
            </w:tcBorders>
          </w:tcPr>
          <w:p w:rsidR="006B286C" w:rsidRPr="006219DA" w:rsidRDefault="006B286C" w:rsidP="003A3A2C">
            <w:pPr>
              <w:keepNext/>
              <w:spacing w:line="360" w:lineRule="exact"/>
              <w:jc w:val="both"/>
              <w:rPr>
                <w:rFonts w:cs="Traditional Arabic"/>
                <w:b/>
                <w:noProof w:val="0"/>
                <w:snapToGrid w:val="0"/>
                <w:sz w:val="28"/>
                <w:lang w:val="en-GB"/>
              </w:rPr>
            </w:pPr>
            <w:r>
              <w:rPr>
                <w:rFonts w:ascii="Calibri" w:eastAsia="Calibri" w:hAnsi="Calibri" w:cs="Traditional Arabic" w:hint="cs"/>
                <w:noProof w:val="0"/>
                <w:sz w:val="28"/>
                <w:rtl/>
                <w:lang w:bidi="ar-EG"/>
              </w:rPr>
              <w:t>الترايكلورفون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</w:tcBorders>
          </w:tcPr>
          <w:p w:rsidR="006B286C" w:rsidRPr="006219DA" w:rsidRDefault="006B286C" w:rsidP="003A3A2C">
            <w:pPr>
              <w:keepNext/>
              <w:spacing w:line="360" w:lineRule="exact"/>
              <w:jc w:val="center"/>
              <w:rPr>
                <w:rFonts w:cs="Traditional Arabic"/>
                <w:b/>
                <w:noProof w:val="0"/>
                <w:snapToGrid w:val="0"/>
                <w:sz w:val="28"/>
                <w:lang w:val="en-GB"/>
              </w:rPr>
            </w:pPr>
            <w:r w:rsidRPr="003C4C42">
              <w:rPr>
                <w:rFonts w:ascii="Times New Roman" w:hAnsi="Times New Roman" w:cs="Traditional Arabic" w:hint="cs"/>
                <w:b/>
                <w:noProof w:val="0"/>
                <w:sz w:val="24"/>
                <w:szCs w:val="24"/>
                <w:rtl/>
                <w:lang w:val="en-GB" w:bidi="ar-EG"/>
              </w:rPr>
              <w:t>6</w:t>
            </w:r>
            <w:r w:rsidRPr="00CB714D">
              <w:rPr>
                <w:rFonts w:ascii="Times New Roman" w:hAnsi="Times New Roman" w:cs="Traditional Arabic"/>
                <w:b/>
                <w:sz w:val="24"/>
                <w:szCs w:val="24"/>
                <w:rtl/>
                <w:lang w:val="en-GB" w:bidi="ar-EG"/>
              </w:rPr>
              <w:t>-68-</w:t>
            </w:r>
            <w:r w:rsidRPr="003C4C42">
              <w:rPr>
                <w:rFonts w:ascii="Times New Roman" w:hAnsi="Times New Roman" w:cs="Traditional Arabic" w:hint="cs"/>
                <w:b/>
                <w:noProof w:val="0"/>
                <w:sz w:val="24"/>
                <w:szCs w:val="24"/>
                <w:rtl/>
                <w:lang w:val="en-GB" w:bidi="ar-EG"/>
              </w:rPr>
              <w:t>52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6B286C" w:rsidRPr="006219DA" w:rsidRDefault="006B286C" w:rsidP="003A3A2C">
            <w:pPr>
              <w:keepNext/>
              <w:spacing w:line="360" w:lineRule="exact"/>
              <w:rPr>
                <w:rFonts w:cs="Traditional Arabic"/>
                <w:b/>
                <w:noProof w:val="0"/>
                <w:snapToGrid w:val="0"/>
                <w:sz w:val="28"/>
                <w:lang w:val="en-GB"/>
              </w:rPr>
            </w:pPr>
            <w:r w:rsidRPr="006219DA">
              <w:rPr>
                <w:rFonts w:cs="Traditional Arabic"/>
                <w:b/>
                <w:noProof w:val="0"/>
                <w:snapToGrid w:val="0"/>
                <w:sz w:val="28"/>
                <w:rtl/>
                <w:lang w:val="en-GB"/>
              </w:rPr>
              <w:t>مبيد آفات</w:t>
            </w:r>
          </w:p>
        </w:tc>
      </w:tr>
    </w:tbl>
    <w:p w:rsidR="006B286C" w:rsidRDefault="006B286C" w:rsidP="006B286C">
      <w:pPr>
        <w:tabs>
          <w:tab w:val="left" w:pos="2409"/>
        </w:tabs>
        <w:spacing w:before="240" w:after="120" w:line="400" w:lineRule="exact"/>
        <w:ind w:left="1134" w:firstLine="567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2F6798">
        <w:rPr>
          <w:rFonts w:ascii="Calibri" w:eastAsia="Calibri" w:hAnsi="Calibri" w:cs="Traditional Arabic"/>
          <w:noProof w:val="0"/>
          <w:szCs w:val="30"/>
          <w:rtl/>
        </w:rPr>
        <w:t>2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2F6798">
        <w:rPr>
          <w:rFonts w:ascii="Calibri" w:eastAsia="Calibri" w:hAnsi="Calibri" w:cs="Traditional Arabic"/>
          <w:noProof w:val="0"/>
          <w:szCs w:val="30"/>
          <w:rtl/>
        </w:rPr>
        <w:t>-</w:t>
      </w:r>
      <w:r w:rsidRPr="006219DA">
        <w:rPr>
          <w:rFonts w:ascii="Calibri" w:eastAsia="Calibri" w:hAnsi="Calibri" w:cs="Traditional Arabic"/>
          <w:noProof w:val="0"/>
          <w:szCs w:val="30"/>
          <w:rtl/>
        </w:rPr>
        <w:tab/>
      </w:r>
      <w:r w:rsidRPr="00A9619F">
        <w:rPr>
          <w:rFonts w:ascii="Calibri" w:eastAsia="Calibri" w:hAnsi="Calibri" w:cs="Traditional Arabic"/>
          <w:i/>
          <w:iCs/>
          <w:noProof w:val="0"/>
          <w:szCs w:val="30"/>
          <w:rtl/>
        </w:rPr>
        <w:t>يقرر أيضاً</w:t>
      </w:r>
      <w:r w:rsidRPr="002F6798"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أن 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يبدأ نفاذ 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>هذا التعديل بالنسبة لجميع ال</w:t>
      </w:r>
      <w:r>
        <w:rPr>
          <w:rFonts w:ascii="Calibri" w:eastAsia="Calibri" w:hAnsi="Calibri" w:cs="Traditional Arabic"/>
          <w:noProof w:val="0"/>
          <w:szCs w:val="30"/>
          <w:rtl/>
        </w:rPr>
        <w:t>أطراف في 15 أيلول/سبتمبر 2017؛</w:t>
      </w:r>
    </w:p>
    <w:p w:rsidR="006B286C" w:rsidRPr="006219DA" w:rsidRDefault="006B286C" w:rsidP="006B286C">
      <w:pPr>
        <w:tabs>
          <w:tab w:val="left" w:pos="2409"/>
        </w:tabs>
        <w:spacing w:after="120" w:line="400" w:lineRule="exact"/>
        <w:ind w:left="1134" w:firstLine="567"/>
        <w:jc w:val="both"/>
        <w:rPr>
          <w:rFonts w:ascii="Calibri" w:eastAsia="Calibri" w:hAnsi="Calibri" w:cs="Traditional Arabic"/>
          <w:noProof w:val="0"/>
          <w:szCs w:val="30"/>
          <w:rtl/>
        </w:rPr>
      </w:pPr>
      <w:r w:rsidRPr="002F6798">
        <w:rPr>
          <w:rFonts w:ascii="Calibri" w:eastAsia="Calibri" w:hAnsi="Calibri" w:cs="Traditional Arabic"/>
          <w:noProof w:val="0"/>
          <w:szCs w:val="30"/>
          <w:rtl/>
        </w:rPr>
        <w:t>3</w:t>
      </w:r>
      <w:r>
        <w:rPr>
          <w:rFonts w:ascii="Calibri" w:eastAsia="Calibri" w:hAnsi="Calibri" w:cs="Traditional Arabic"/>
          <w:noProof w:val="0"/>
          <w:szCs w:val="30"/>
          <w:rtl/>
        </w:rPr>
        <w:t xml:space="preserve"> </w:t>
      </w:r>
      <w:r w:rsidRPr="002F6798">
        <w:rPr>
          <w:rFonts w:ascii="Calibri" w:eastAsia="Calibri" w:hAnsi="Calibri" w:cs="Traditional Arabic"/>
          <w:noProof w:val="0"/>
          <w:szCs w:val="30"/>
          <w:rtl/>
        </w:rPr>
        <w:t>-</w:t>
      </w:r>
      <w:r w:rsidRPr="006219DA">
        <w:rPr>
          <w:rFonts w:ascii="Calibri" w:eastAsia="Calibri" w:hAnsi="Calibri" w:cs="Traditional Arabic"/>
          <w:noProof w:val="0"/>
          <w:szCs w:val="30"/>
          <w:rtl/>
        </w:rPr>
        <w:tab/>
      </w:r>
      <w:r w:rsidRPr="00A9619F">
        <w:rPr>
          <w:rFonts w:ascii="Calibri" w:eastAsia="Calibri" w:hAnsi="Calibri" w:cs="Traditional Arabic"/>
          <w:i/>
          <w:iCs/>
          <w:noProof w:val="0"/>
          <w:szCs w:val="30"/>
          <w:rtl/>
        </w:rPr>
        <w:t>يعتمد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وثيقة توجيه القرار</w:t>
      </w:r>
      <w:r>
        <w:rPr>
          <w:rFonts w:ascii="Calibri" w:eastAsia="Calibri" w:hAnsi="Calibri" w:cs="Traditional Arabic"/>
          <w:noProof w:val="0"/>
          <w:szCs w:val="30"/>
          <w:rtl/>
        </w:rPr>
        <w:t>ات</w:t>
      </w:r>
      <w:r w:rsidRPr="000D1C1F">
        <w:rPr>
          <w:rFonts w:ascii="Calibri" w:eastAsia="Calibri" w:hAnsi="Calibri" w:cs="Traditional Arabic"/>
          <w:noProof w:val="0"/>
          <w:szCs w:val="30"/>
          <w:rtl/>
        </w:rPr>
        <w:t xml:space="preserve"> بشأن </w:t>
      </w:r>
      <w:r>
        <w:rPr>
          <w:rFonts w:ascii="Calibri" w:eastAsia="Calibri" w:hAnsi="Calibri" w:cs="Traditional Arabic" w:hint="cs"/>
          <w:noProof w:val="0"/>
          <w:szCs w:val="30"/>
          <w:rtl/>
          <w:lang w:bidi="ar-EG"/>
        </w:rPr>
        <w:t>الترايكلورفون</w:t>
      </w:r>
      <w:r w:rsidRPr="005647DE">
        <w:rPr>
          <w:rFonts w:ascii="Traditional Arabic" w:eastAsia="Calibri" w:hAnsi="Traditional Arabic" w:cs="Traditional Arabic"/>
          <w:noProof w:val="0"/>
          <w:sz w:val="30"/>
          <w:szCs w:val="30"/>
          <w:vertAlign w:val="superscript"/>
          <w:rtl/>
        </w:rPr>
        <w:t>(</w:t>
      </w:r>
      <w:r w:rsidRPr="005647DE">
        <w:rPr>
          <w:rFonts w:ascii="Traditional Arabic" w:eastAsia="Calibri" w:hAnsi="Traditional Arabic" w:cs="Traditional Arabic"/>
          <w:noProof w:val="0"/>
          <w:sz w:val="30"/>
          <w:szCs w:val="30"/>
          <w:vertAlign w:val="superscript"/>
          <w:rtl/>
        </w:rPr>
        <w:footnoteReference w:id="1"/>
      </w:r>
      <w:r w:rsidRPr="005647DE">
        <w:rPr>
          <w:rFonts w:ascii="Traditional Arabic" w:eastAsia="Calibri" w:hAnsi="Traditional Arabic" w:cs="Traditional Arabic"/>
          <w:noProof w:val="0"/>
          <w:sz w:val="30"/>
          <w:szCs w:val="30"/>
          <w:vertAlign w:val="superscript"/>
          <w:rtl/>
        </w:rPr>
        <w:t>)</w:t>
      </w:r>
      <w:r w:rsidRPr="006219DA">
        <w:rPr>
          <w:rFonts w:ascii="Calibri" w:eastAsia="Calibri" w:hAnsi="Calibri" w:cs="Traditional Arabic"/>
          <w:noProof w:val="0"/>
          <w:szCs w:val="30"/>
          <w:rtl/>
        </w:rPr>
        <w:t>.</w:t>
      </w:r>
    </w:p>
    <w:p w:rsidR="00CD6F2D" w:rsidRDefault="00CD6F2D"/>
    <w:sectPr w:rsidR="00CD6F2D" w:rsidSect="00CD6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6DC" w:rsidRDefault="00B226DC" w:rsidP="006B286C">
      <w:r>
        <w:separator/>
      </w:r>
    </w:p>
  </w:endnote>
  <w:endnote w:type="continuationSeparator" w:id="0">
    <w:p w:rsidR="00B226DC" w:rsidRDefault="00B226DC" w:rsidP="006B28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6DC" w:rsidRDefault="00B226DC" w:rsidP="006B286C">
      <w:r>
        <w:separator/>
      </w:r>
    </w:p>
  </w:footnote>
  <w:footnote w:type="continuationSeparator" w:id="0">
    <w:p w:rsidR="00B226DC" w:rsidRDefault="00B226DC" w:rsidP="006B286C">
      <w:r>
        <w:continuationSeparator/>
      </w:r>
    </w:p>
  </w:footnote>
  <w:footnote w:id="1">
    <w:p w:rsidR="006B286C" w:rsidRPr="006219DA" w:rsidRDefault="006B286C" w:rsidP="006B286C">
      <w:pPr>
        <w:pStyle w:val="FootnoteText"/>
        <w:spacing w:after="60" w:line="300" w:lineRule="exact"/>
        <w:ind w:left="1134"/>
        <w:jc w:val="both"/>
        <w:rPr>
          <w:rFonts w:cs="Traditional Arabic"/>
          <w:sz w:val="18"/>
          <w:szCs w:val="30"/>
          <w:rtl/>
        </w:rPr>
      </w:pPr>
      <w:r w:rsidRPr="006219DA">
        <w:rPr>
          <w:rFonts w:cs="Traditional Arabic"/>
          <w:sz w:val="26"/>
          <w:szCs w:val="26"/>
          <w:rtl/>
        </w:rPr>
        <w:t>(</w:t>
      </w:r>
      <w:r w:rsidRPr="006219DA">
        <w:rPr>
          <w:rStyle w:val="FootnoteReference"/>
          <w:rFonts w:cs="Traditional Arabic"/>
          <w:sz w:val="26"/>
          <w:szCs w:val="26"/>
          <w:rtl/>
        </w:rPr>
        <w:footnoteRef/>
      </w:r>
      <w:r w:rsidRPr="006219DA">
        <w:rPr>
          <w:rFonts w:cs="Traditional Arabic"/>
          <w:sz w:val="26"/>
          <w:szCs w:val="26"/>
          <w:rtl/>
        </w:rPr>
        <w:t>)</w:t>
      </w:r>
      <w:r w:rsidRPr="006219DA">
        <w:rPr>
          <w:rFonts w:asciiTheme="majorBidi" w:hAnsiTheme="majorBidi" w:cstheme="majorBidi"/>
          <w:sz w:val="18"/>
          <w:szCs w:val="18"/>
        </w:rPr>
        <w:t>UNEP/FAO/RC/COP.8/9/Add.1</w:t>
      </w:r>
      <w:r w:rsidRPr="006219DA">
        <w:rPr>
          <w:rFonts w:ascii="Traditional Arabic" w:hAnsi="Traditional Arabic" w:cs="Traditional Arabic"/>
          <w:sz w:val="26"/>
          <w:szCs w:val="26"/>
        </w:rPr>
        <w:t xml:space="preserve"> </w:t>
      </w:r>
      <w:r>
        <w:rPr>
          <w:rFonts w:ascii="Traditional Arabic" w:hAnsi="Traditional Arabic" w:cs="Traditional Arabic"/>
          <w:sz w:val="26"/>
          <w:szCs w:val="26"/>
        </w:rPr>
        <w:t xml:space="preserve"> </w:t>
      </w:r>
      <w:r w:rsidRPr="006219DA">
        <w:rPr>
          <w:rFonts w:cs="Traditional Arabic" w:hint="cs"/>
          <w:sz w:val="26"/>
          <w:szCs w:val="26"/>
          <w:rtl/>
        </w:rPr>
        <w:t>، المرفق.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286C"/>
    <w:rsid w:val="006B286C"/>
    <w:rsid w:val="00B226DC"/>
    <w:rsid w:val="00CD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86C"/>
    <w:pPr>
      <w:bidi/>
      <w:spacing w:after="0" w:line="240" w:lineRule="auto"/>
    </w:pPr>
    <w:rPr>
      <w:rFonts w:ascii="Times" w:eastAsia="Times New Roman" w:hAnsi="Times" w:cs="Simplified Arabic"/>
      <w:noProof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NV-FT,Geneva 9,Font: Geneva 9,Boston 10,f,Car,-E Fußnotentext,ft,Fußnote,Fußnotentext Ursprung,fn,footnote text,Footnotes,Footnote ak,fn cafc,Footnotes Char Char,Footnote Text Char Char,fn Char Char,footnote text Char Char Char Ch,93,Char"/>
    <w:basedOn w:val="Normal"/>
    <w:link w:val="FootnoteTextChar"/>
    <w:rsid w:val="006B286C"/>
    <w:rPr>
      <w:szCs w:val="20"/>
    </w:rPr>
  </w:style>
  <w:style w:type="character" w:customStyle="1" w:styleId="FootnoteTextChar">
    <w:name w:val="Footnote Text Char"/>
    <w:aliases w:val="DNV-FT Char,Geneva 9 Char,Font: Geneva 9 Char,Boston 10 Char,f Char,Car Char,-E Fußnotentext Char,ft Char,Fußnote Char,Fußnotentext Ursprung Char,fn Char,footnote text Char,Footnotes Char,Footnote ak Char,fn cafc Char,93 Char"/>
    <w:basedOn w:val="DefaultParagraphFont"/>
    <w:link w:val="FootnoteText"/>
    <w:rsid w:val="006B286C"/>
    <w:rPr>
      <w:rFonts w:ascii="Times" w:eastAsia="Times New Roman" w:hAnsi="Times" w:cs="Simplified Arabic"/>
      <w:noProof/>
      <w:sz w:val="20"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"/>
    <w:rsid w:val="006B286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724</Characters>
  <Application>Microsoft Office Word</Application>
  <DocSecurity>0</DocSecurity>
  <Lines>6</Lines>
  <Paragraphs>1</Paragraphs>
  <ScaleCrop>false</ScaleCrop>
  <Company>BRS</Company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2018-01-29T14:43:00Z</dcterms:created>
  <dcterms:modified xsi:type="dcterms:W3CDTF">2018-01-29T14:46:00Z</dcterms:modified>
</cp:coreProperties>
</file>