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994" w:rsidRPr="0024275F" w:rsidRDefault="00EC4994" w:rsidP="00EC4994">
      <w:pPr>
        <w:tabs>
          <w:tab w:val="left" w:pos="1842"/>
        </w:tabs>
        <w:spacing w:after="240" w:line="400" w:lineRule="exact"/>
        <w:ind w:left="1134"/>
        <w:jc w:val="both"/>
        <w:rPr>
          <w:rFonts w:ascii="Traditional Arabic" w:hAnsi="Traditional Arabic" w:cs="Traditional Arabic"/>
          <w:b/>
          <w:bCs/>
          <w:noProof w:val="0"/>
          <w:sz w:val="32"/>
          <w:szCs w:val="32"/>
          <w:lang w:val="en-GB" w:eastAsia="zh-TW"/>
        </w:rPr>
      </w:pPr>
      <w:r w:rsidRPr="0024275F"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 xml:space="preserve">المقرر </w:t>
      </w:r>
      <w:r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>ا</w:t>
      </w:r>
      <w:r w:rsidRPr="0024275F"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 xml:space="preserve"> ر-8/4: إدراج </w:t>
      </w:r>
      <w:r>
        <w:rPr>
          <w:rFonts w:ascii="Calibri" w:eastAsia="Calibri" w:hAnsi="Calibri" w:cs="Traditional Arabic" w:hint="cs"/>
          <w:bCs/>
          <w:noProof w:val="0"/>
          <w:sz w:val="24"/>
          <w:szCs w:val="34"/>
          <w:rtl/>
        </w:rPr>
        <w:t>البرافينات</w:t>
      </w:r>
      <w:r w:rsidRPr="0024275F"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 xml:space="preserve"> المكلورة القصيرة السلسلة في المرفق الثالث لاتفاقية روتردام</w:t>
      </w:r>
    </w:p>
    <w:p w:rsidR="00EC4994" w:rsidRPr="004574FB" w:rsidRDefault="00EC4994" w:rsidP="00EC4994">
      <w:pPr>
        <w:tabs>
          <w:tab w:val="left" w:pos="2267"/>
        </w:tabs>
        <w:spacing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4574FB">
        <w:rPr>
          <w:rFonts w:ascii="Calibri" w:eastAsia="Calibri" w:hAnsi="Calibri" w:cs="Traditional Arabic"/>
          <w:i/>
          <w:iCs/>
          <w:noProof w:val="0"/>
          <w:szCs w:val="30"/>
          <w:rtl/>
        </w:rPr>
        <w:t>إن مؤتمر الأطراف،</w:t>
      </w:r>
    </w:p>
    <w:p w:rsidR="00EC4994" w:rsidRPr="000D1C1F" w:rsidRDefault="00EC4994" w:rsidP="00EC4994">
      <w:pPr>
        <w:tabs>
          <w:tab w:val="left" w:pos="1842"/>
          <w:tab w:val="left" w:pos="2267"/>
        </w:tabs>
        <w:spacing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0D1C1F">
        <w:rPr>
          <w:rFonts w:ascii="Calibri" w:eastAsia="Calibri" w:hAnsi="Calibri" w:cs="Traditional Arabic"/>
          <w:i/>
          <w:iCs/>
          <w:noProof w:val="0"/>
          <w:szCs w:val="30"/>
          <w:rtl/>
        </w:rPr>
        <w:t xml:space="preserve">إذ يلاحظ مع التقدير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>عمل لجنة استعراض المواد الكيميائية،</w:t>
      </w:r>
    </w:p>
    <w:p w:rsidR="00EC4994" w:rsidRPr="000D1C1F" w:rsidRDefault="00EC4994" w:rsidP="00EC4994">
      <w:pPr>
        <w:tabs>
          <w:tab w:val="left" w:pos="1842"/>
          <w:tab w:val="left" w:pos="2267"/>
        </w:tabs>
        <w:spacing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i/>
          <w:iCs/>
          <w:noProof w:val="0"/>
          <w:szCs w:val="30"/>
          <w:rtl/>
        </w:rPr>
        <w:t>وقد نظر في</w:t>
      </w:r>
      <w:r w:rsidRPr="000D1C1F">
        <w:rPr>
          <w:rFonts w:ascii="Calibri" w:eastAsia="Calibri" w:hAnsi="Calibri" w:cs="Traditional Arabic"/>
          <w:i/>
          <w:iCs/>
          <w:noProof w:val="0"/>
          <w:szCs w:val="30"/>
          <w:rtl/>
        </w:rPr>
        <w:t xml:space="preserve">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توصية لجنة استعراض المواد الكيميائية </w:t>
      </w:r>
      <w:r>
        <w:rPr>
          <w:rFonts w:ascii="Calibri" w:eastAsia="Calibri" w:hAnsi="Calibri" w:cs="Traditional Arabic"/>
          <w:noProof w:val="0"/>
          <w:szCs w:val="30"/>
          <w:rtl/>
        </w:rPr>
        <w:t>بإخضاع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>
        <w:rPr>
          <w:rFonts w:ascii="Calibri" w:eastAsia="Calibri" w:hAnsi="Calibri" w:cs="Traditional Arabic" w:hint="cs"/>
          <w:noProof w:val="0"/>
          <w:szCs w:val="30"/>
          <w:rtl/>
          <w:lang w:bidi="ar-EG"/>
        </w:rPr>
        <w:t>البرافينات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 المكلورة القصيرة السلسلة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لإجراء الموافقة المسبقة عن علم 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وإدراج تلك المواد الكيميائية كمواد كيميائية صناعية، وفقاً لذلك،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في المرفق الثالث لاتفاقية روتردام </w:t>
      </w:r>
      <w:r>
        <w:rPr>
          <w:rFonts w:ascii="Calibri" w:eastAsia="Calibri" w:hAnsi="Calibri" w:cs="Traditional Arabic"/>
          <w:noProof w:val="0"/>
          <w:szCs w:val="30"/>
          <w:rtl/>
        </w:rPr>
        <w:t>المتعلقة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>
        <w:rPr>
          <w:rFonts w:ascii="Calibri" w:eastAsia="Calibri" w:hAnsi="Calibri" w:cs="Traditional Arabic"/>
          <w:noProof w:val="0"/>
          <w:szCs w:val="30"/>
          <w:rtl/>
        </w:rPr>
        <w:t>ب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تطبيق إجراء الموافقة المسبقة عن علم على مواد كيميائية ومبيدات آفات معينة </w:t>
      </w:r>
      <w:r>
        <w:rPr>
          <w:rFonts w:ascii="Calibri" w:eastAsia="Calibri" w:hAnsi="Calibri" w:cs="Traditional Arabic"/>
          <w:noProof w:val="0"/>
          <w:szCs w:val="30"/>
          <w:rtl/>
        </w:rPr>
        <w:t>خطرة متداولة في التجارة الدولية،</w:t>
      </w:r>
    </w:p>
    <w:p w:rsidR="00EC4994" w:rsidRPr="000D1C1F" w:rsidRDefault="00EC4994" w:rsidP="00EC4994">
      <w:pPr>
        <w:tabs>
          <w:tab w:val="left" w:pos="2267"/>
        </w:tabs>
        <w:spacing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0D1C1F">
        <w:rPr>
          <w:rFonts w:ascii="Calibri" w:eastAsia="Calibri" w:hAnsi="Calibri" w:cs="Traditional Arabic"/>
          <w:i/>
          <w:iCs/>
          <w:noProof w:val="0"/>
          <w:szCs w:val="30"/>
          <w:rtl/>
        </w:rPr>
        <w:t>وقد اقتنع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بأن جميع </w:t>
      </w:r>
      <w:r>
        <w:rPr>
          <w:rFonts w:ascii="Calibri" w:eastAsia="Calibri" w:hAnsi="Calibri" w:cs="Traditional Arabic"/>
          <w:noProof w:val="0"/>
          <w:szCs w:val="30"/>
          <w:rtl/>
        </w:rPr>
        <w:t>شروط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الإدراج 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في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>المرفق الثال</w:t>
      </w:r>
      <w:r>
        <w:rPr>
          <w:rFonts w:ascii="Calibri" w:eastAsia="Calibri" w:hAnsi="Calibri" w:cs="Traditional Arabic"/>
          <w:noProof w:val="0"/>
          <w:szCs w:val="30"/>
          <w:rtl/>
        </w:rPr>
        <w:t>ث لاتفاقية روتردام قد استُوفيت،</w:t>
      </w:r>
    </w:p>
    <w:p w:rsidR="00EC4994" w:rsidRPr="000D1C1F" w:rsidRDefault="00EC4994" w:rsidP="00EC4994">
      <w:pPr>
        <w:tabs>
          <w:tab w:val="left" w:pos="2267"/>
          <w:tab w:val="left" w:pos="2976"/>
        </w:tabs>
        <w:spacing w:after="240" w:line="400" w:lineRule="exact"/>
        <w:ind w:left="1134" w:firstLine="567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9A2362">
        <w:rPr>
          <w:rFonts w:ascii="Calibri" w:eastAsia="Calibri" w:hAnsi="Calibri" w:cs="Traditional Arabic"/>
          <w:noProof w:val="0"/>
          <w:szCs w:val="30"/>
          <w:rtl/>
        </w:rPr>
        <w:t>1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 w:rsidRPr="000D1C1F">
        <w:rPr>
          <w:rFonts w:ascii="Calibri" w:eastAsia="Calibri" w:hAnsi="Calibri" w:cs="Traditional Arabic"/>
          <w:i/>
          <w:iCs/>
          <w:noProof w:val="0"/>
          <w:szCs w:val="30"/>
          <w:rtl/>
        </w:rPr>
        <w:t>-</w:t>
      </w:r>
      <w:r>
        <w:rPr>
          <w:rFonts w:ascii="Calibri" w:eastAsia="Calibri" w:hAnsi="Calibri" w:cs="Traditional Arabic"/>
          <w:i/>
          <w:iCs/>
          <w:noProof w:val="0"/>
          <w:szCs w:val="30"/>
          <w:rtl/>
        </w:rPr>
        <w:tab/>
      </w:r>
      <w:r w:rsidRPr="000D1C1F">
        <w:rPr>
          <w:rFonts w:ascii="Calibri" w:eastAsia="Calibri" w:hAnsi="Calibri" w:cs="Traditional Arabic"/>
          <w:i/>
          <w:iCs/>
          <w:noProof w:val="0"/>
          <w:szCs w:val="30"/>
          <w:rtl/>
        </w:rPr>
        <w:t xml:space="preserve">يقرر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>تعديل المرفق الثالث لاتفاقية روتردام من أجل إ</w:t>
      </w:r>
      <w:r>
        <w:rPr>
          <w:rFonts w:ascii="Calibri" w:eastAsia="Calibri" w:hAnsi="Calibri" w:cs="Traditional Arabic"/>
          <w:noProof w:val="0"/>
          <w:szCs w:val="30"/>
          <w:rtl/>
        </w:rPr>
        <w:t>دراج المواد الكيميائية التالية:</w:t>
      </w:r>
    </w:p>
    <w:tbl>
      <w:tblPr>
        <w:bidiVisual/>
        <w:tblW w:w="8367" w:type="dxa"/>
        <w:tblInd w:w="109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1E0"/>
      </w:tblPr>
      <w:tblGrid>
        <w:gridCol w:w="3689"/>
        <w:gridCol w:w="2977"/>
        <w:gridCol w:w="1701"/>
      </w:tblGrid>
      <w:tr w:rsidR="00EC4994" w:rsidRPr="000D1C1F" w:rsidTr="003A3A2C">
        <w:tc>
          <w:tcPr>
            <w:tcW w:w="3689" w:type="dxa"/>
            <w:tcBorders>
              <w:bottom w:val="single" w:sz="12" w:space="0" w:color="auto"/>
            </w:tcBorders>
          </w:tcPr>
          <w:p w:rsidR="00EC4994" w:rsidRPr="008D4B68" w:rsidRDefault="00EC4994" w:rsidP="003A3A2C">
            <w:pPr>
              <w:spacing w:after="120" w:line="400" w:lineRule="exact"/>
              <w:jc w:val="both"/>
              <w:rPr>
                <w:rFonts w:cs="Traditional Arabic"/>
                <w:bCs/>
                <w:noProof w:val="0"/>
                <w:snapToGrid w:val="0"/>
                <w:sz w:val="28"/>
                <w:lang w:val="en-GB"/>
              </w:rPr>
            </w:pPr>
            <w:r w:rsidRPr="008D4B68"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>المادة الكيميائية</w:t>
            </w: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:rsidR="00EC4994" w:rsidRPr="008D4B68" w:rsidRDefault="00EC4994" w:rsidP="003A3A2C">
            <w:pPr>
              <w:spacing w:after="120" w:line="400" w:lineRule="exact"/>
              <w:jc w:val="center"/>
              <w:rPr>
                <w:rFonts w:cs="Traditional Arabic"/>
                <w:bCs/>
                <w:noProof w:val="0"/>
                <w:sz w:val="28"/>
                <w:lang w:val="en-GB"/>
              </w:rPr>
            </w:pPr>
            <w:r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>الرقم/</w:t>
            </w:r>
            <w:r w:rsidRPr="008D4B68"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 xml:space="preserve">الأرقام ذات الصلة في سجل </w:t>
            </w:r>
            <w:r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 xml:space="preserve">دائرة </w:t>
            </w:r>
            <w:r w:rsidRPr="008D4B68"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>المستخلصات الكيميائية</w:t>
            </w: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EC4994" w:rsidRPr="008D4B68" w:rsidRDefault="00EC4994" w:rsidP="003A3A2C">
            <w:pPr>
              <w:spacing w:after="120" w:line="400" w:lineRule="exact"/>
              <w:jc w:val="center"/>
              <w:rPr>
                <w:rFonts w:cs="Traditional Arabic"/>
                <w:bCs/>
                <w:noProof w:val="0"/>
                <w:sz w:val="28"/>
                <w:lang w:val="en-GB"/>
              </w:rPr>
            </w:pPr>
            <w:r w:rsidRPr="008D4B68"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>الفئة</w:t>
            </w:r>
          </w:p>
        </w:tc>
      </w:tr>
      <w:tr w:rsidR="00EC4994" w:rsidRPr="000D1C1F" w:rsidTr="003A3A2C">
        <w:tc>
          <w:tcPr>
            <w:tcW w:w="3689" w:type="dxa"/>
            <w:tcBorders>
              <w:top w:val="single" w:sz="12" w:space="0" w:color="auto"/>
              <w:bottom w:val="single" w:sz="12" w:space="0" w:color="auto"/>
            </w:tcBorders>
          </w:tcPr>
          <w:p w:rsidR="00EC4994" w:rsidRPr="008D4B68" w:rsidRDefault="00EC4994" w:rsidP="003A3A2C">
            <w:pPr>
              <w:spacing w:after="120" w:line="400" w:lineRule="exact"/>
              <w:jc w:val="both"/>
              <w:rPr>
                <w:rFonts w:cs="Traditional Arabic"/>
                <w:noProof w:val="0"/>
                <w:snapToGrid w:val="0"/>
                <w:sz w:val="28"/>
              </w:rPr>
            </w:pPr>
            <w:r>
              <w:rPr>
                <w:rFonts w:ascii="Calibri" w:eastAsia="Calibri" w:hAnsi="Calibri" w:cs="Traditional Arabic" w:hint="cs"/>
                <w:noProof w:val="0"/>
                <w:sz w:val="28"/>
                <w:rtl/>
                <w:lang w:bidi="ar-EG"/>
              </w:rPr>
              <w:t>البرافينات</w:t>
            </w:r>
            <w:r>
              <w:rPr>
                <w:rFonts w:ascii="Calibri" w:eastAsia="Calibri" w:hAnsi="Calibri" w:cs="Traditional Arabic"/>
                <w:noProof w:val="0"/>
                <w:sz w:val="28"/>
                <w:rtl/>
              </w:rPr>
              <w:t xml:space="preserve"> المكلورة القصيرة السلسلة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12" w:space="0" w:color="auto"/>
            </w:tcBorders>
          </w:tcPr>
          <w:p w:rsidR="00EC4994" w:rsidRPr="008D4B68" w:rsidRDefault="00EC4994" w:rsidP="003A3A2C">
            <w:pPr>
              <w:spacing w:after="120" w:line="400" w:lineRule="exact"/>
              <w:jc w:val="center"/>
              <w:rPr>
                <w:rFonts w:cs="Traditional Arabic"/>
                <w:b/>
                <w:noProof w:val="0"/>
                <w:sz w:val="28"/>
                <w:lang w:val="en-GB"/>
              </w:rPr>
            </w:pPr>
            <w:r w:rsidRPr="00CB714D">
              <w:rPr>
                <w:rFonts w:ascii="Traditional Arabic" w:hAnsi="Traditional Arabic" w:cs="Traditional Arabic"/>
                <w:b/>
                <w:sz w:val="24"/>
                <w:szCs w:val="24"/>
                <w:lang w:val="en-GB"/>
              </w:rPr>
              <w:t>85535-84-8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EC4994" w:rsidRPr="008D4B68" w:rsidRDefault="00EC4994" w:rsidP="003A3A2C">
            <w:pPr>
              <w:spacing w:after="120" w:line="400" w:lineRule="exact"/>
              <w:jc w:val="center"/>
              <w:rPr>
                <w:rFonts w:cs="Traditional Arabic"/>
                <w:b/>
                <w:noProof w:val="0"/>
                <w:sz w:val="28"/>
              </w:rPr>
            </w:pPr>
            <w:r>
              <w:rPr>
                <w:rFonts w:cs="Traditional Arabic"/>
                <w:b/>
                <w:noProof w:val="0"/>
                <w:sz w:val="28"/>
                <w:rtl/>
              </w:rPr>
              <w:t>مواد صناعية</w:t>
            </w:r>
          </w:p>
        </w:tc>
      </w:tr>
    </w:tbl>
    <w:p w:rsidR="00EC4994" w:rsidRDefault="00EC4994" w:rsidP="00EC4994">
      <w:pPr>
        <w:tabs>
          <w:tab w:val="left" w:pos="2409"/>
        </w:tabs>
        <w:spacing w:before="240" w:after="120" w:line="400" w:lineRule="exact"/>
        <w:ind w:left="1134" w:firstLine="567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2F6798">
        <w:rPr>
          <w:rFonts w:ascii="Calibri" w:eastAsia="Calibri" w:hAnsi="Calibri" w:cs="Traditional Arabic"/>
          <w:noProof w:val="0"/>
          <w:szCs w:val="30"/>
          <w:rtl/>
        </w:rPr>
        <w:t>2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 w:rsidRPr="002F6798">
        <w:rPr>
          <w:rFonts w:ascii="Calibri" w:eastAsia="Calibri" w:hAnsi="Calibri" w:cs="Traditional Arabic"/>
          <w:noProof w:val="0"/>
          <w:szCs w:val="30"/>
          <w:rtl/>
        </w:rPr>
        <w:t>-</w:t>
      </w:r>
      <w:r>
        <w:rPr>
          <w:rFonts w:ascii="Calibri" w:eastAsia="Calibri" w:hAnsi="Calibri" w:cs="Traditional Arabic"/>
          <w:i/>
          <w:iCs/>
          <w:noProof w:val="0"/>
          <w:szCs w:val="30"/>
          <w:rtl/>
        </w:rPr>
        <w:tab/>
      </w:r>
      <w:r w:rsidRPr="002F6798">
        <w:rPr>
          <w:rFonts w:ascii="Calibri" w:eastAsia="Calibri" w:hAnsi="Calibri" w:cs="Traditional Arabic"/>
          <w:i/>
          <w:iCs/>
          <w:noProof w:val="0"/>
          <w:szCs w:val="30"/>
          <w:rtl/>
        </w:rPr>
        <w:t>يقرر أيضاً</w:t>
      </w:r>
      <w:r w:rsidRPr="002F6798"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أن 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يبدأ نفاذ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>هذا التعديل بالنسبة لجميع ال</w:t>
      </w:r>
      <w:r>
        <w:rPr>
          <w:rFonts w:ascii="Calibri" w:eastAsia="Calibri" w:hAnsi="Calibri" w:cs="Traditional Arabic"/>
          <w:noProof w:val="0"/>
          <w:szCs w:val="30"/>
          <w:rtl/>
        </w:rPr>
        <w:t>أطراف في 15 أيلول/سبتمبر 2017؛</w:t>
      </w:r>
    </w:p>
    <w:p w:rsidR="00EC4994" w:rsidRPr="002F6798" w:rsidRDefault="00EC4994" w:rsidP="00EC4994">
      <w:pPr>
        <w:tabs>
          <w:tab w:val="left" w:pos="2409"/>
        </w:tabs>
        <w:spacing w:after="120" w:line="400" w:lineRule="exact"/>
        <w:ind w:left="1133" w:firstLine="567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2F6798">
        <w:rPr>
          <w:rFonts w:ascii="Calibri" w:eastAsia="Calibri" w:hAnsi="Calibri" w:cs="Traditional Arabic"/>
          <w:noProof w:val="0"/>
          <w:szCs w:val="30"/>
          <w:rtl/>
        </w:rPr>
        <w:t>3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 w:rsidRPr="002F6798">
        <w:rPr>
          <w:rFonts w:ascii="Calibri" w:eastAsia="Calibri" w:hAnsi="Calibri" w:cs="Traditional Arabic"/>
          <w:noProof w:val="0"/>
          <w:szCs w:val="30"/>
          <w:rtl/>
        </w:rPr>
        <w:t>-</w:t>
      </w:r>
      <w:r>
        <w:rPr>
          <w:rFonts w:ascii="Calibri" w:eastAsia="Calibri" w:hAnsi="Calibri" w:cs="Traditional Arabic"/>
          <w:i/>
          <w:iCs/>
          <w:noProof w:val="0"/>
          <w:szCs w:val="30"/>
          <w:rtl/>
        </w:rPr>
        <w:tab/>
      </w:r>
      <w:r w:rsidRPr="002F6798">
        <w:rPr>
          <w:rFonts w:ascii="Calibri" w:eastAsia="Calibri" w:hAnsi="Calibri" w:cs="Traditional Arabic"/>
          <w:i/>
          <w:iCs/>
          <w:noProof w:val="0"/>
          <w:szCs w:val="30"/>
          <w:rtl/>
        </w:rPr>
        <w:t>يعتمد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وثيقة توجيه القرار</w:t>
      </w:r>
      <w:r>
        <w:rPr>
          <w:rFonts w:ascii="Calibri" w:eastAsia="Calibri" w:hAnsi="Calibri" w:cs="Traditional Arabic"/>
          <w:noProof w:val="0"/>
          <w:szCs w:val="30"/>
          <w:rtl/>
        </w:rPr>
        <w:t>ات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بشأن </w:t>
      </w:r>
      <w:r>
        <w:rPr>
          <w:rFonts w:ascii="Calibri" w:eastAsia="Calibri" w:hAnsi="Calibri" w:cs="Traditional Arabic" w:hint="cs"/>
          <w:noProof w:val="0"/>
          <w:szCs w:val="30"/>
          <w:rtl/>
          <w:lang w:bidi="ar-EG"/>
        </w:rPr>
        <w:t>البرافينات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 المكلورة القصيرة السلسلة</w:t>
      </w:r>
      <w:r w:rsidRPr="00090811">
        <w:rPr>
          <w:rFonts w:ascii="Traditional Arabic" w:hAnsi="Traditional Arabic" w:cs="Traditional Arabic"/>
          <w:noProof w:val="0"/>
          <w:sz w:val="30"/>
          <w:szCs w:val="30"/>
          <w:vertAlign w:val="superscript"/>
          <w:rtl/>
        </w:rPr>
        <w:t>(</w:t>
      </w:r>
      <w:r w:rsidRPr="00090811">
        <w:rPr>
          <w:rStyle w:val="FootnoteReference"/>
          <w:rFonts w:ascii="Traditional Arabic" w:hAnsi="Traditional Arabic" w:cs="Traditional Arabic"/>
          <w:noProof w:val="0"/>
          <w:sz w:val="30"/>
          <w:szCs w:val="30"/>
          <w:rtl/>
        </w:rPr>
        <w:footnoteReference w:id="1"/>
      </w:r>
      <w:r w:rsidRPr="00090811">
        <w:rPr>
          <w:rFonts w:ascii="Traditional Arabic" w:hAnsi="Traditional Arabic" w:cs="Traditional Arabic"/>
          <w:noProof w:val="0"/>
          <w:sz w:val="30"/>
          <w:szCs w:val="30"/>
          <w:vertAlign w:val="superscript"/>
          <w:rtl/>
        </w:rPr>
        <w:t>)</w:t>
      </w:r>
      <w:r w:rsidRPr="00F039BA">
        <w:rPr>
          <w:rFonts w:ascii="Traditional Arabic" w:hAnsi="Traditional Arabic" w:cs="Traditional Arabic"/>
          <w:noProof w:val="0"/>
          <w:sz w:val="30"/>
          <w:szCs w:val="30"/>
          <w:rtl/>
        </w:rPr>
        <w:t>.</w:t>
      </w:r>
    </w:p>
    <w:p w:rsidR="00CD6F2D" w:rsidRDefault="00CD6F2D"/>
    <w:sectPr w:rsidR="00CD6F2D" w:rsidSect="00CD6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D9B" w:rsidRDefault="00363D9B" w:rsidP="00EC4994">
      <w:r>
        <w:separator/>
      </w:r>
    </w:p>
  </w:endnote>
  <w:endnote w:type="continuationSeparator" w:id="0">
    <w:p w:rsidR="00363D9B" w:rsidRDefault="00363D9B" w:rsidP="00EC4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D9B" w:rsidRDefault="00363D9B" w:rsidP="00EC4994">
      <w:r>
        <w:separator/>
      </w:r>
    </w:p>
  </w:footnote>
  <w:footnote w:type="continuationSeparator" w:id="0">
    <w:p w:rsidR="00363D9B" w:rsidRDefault="00363D9B" w:rsidP="00EC4994">
      <w:r>
        <w:continuationSeparator/>
      </w:r>
    </w:p>
  </w:footnote>
  <w:footnote w:id="1">
    <w:p w:rsidR="00EC4994" w:rsidRPr="0024275F" w:rsidRDefault="00EC4994" w:rsidP="00EC4994">
      <w:pPr>
        <w:pStyle w:val="FootnoteText"/>
        <w:spacing w:after="40" w:line="300" w:lineRule="exact"/>
        <w:ind w:left="1134" w:firstLine="567"/>
        <w:jc w:val="both"/>
        <w:rPr>
          <w:rFonts w:cs="Traditional Arabic"/>
          <w:sz w:val="18"/>
          <w:szCs w:val="30"/>
          <w:rtl/>
        </w:rPr>
      </w:pPr>
      <w:r w:rsidRPr="0024275F">
        <w:rPr>
          <w:rFonts w:cs="Traditional Arabic"/>
          <w:sz w:val="26"/>
          <w:szCs w:val="26"/>
          <w:rtl/>
        </w:rPr>
        <w:t>(</w:t>
      </w:r>
      <w:r w:rsidRPr="0024275F">
        <w:rPr>
          <w:rStyle w:val="FootnoteReference"/>
          <w:rFonts w:cs="Traditional Arabic"/>
          <w:sz w:val="26"/>
          <w:szCs w:val="26"/>
          <w:rtl/>
        </w:rPr>
        <w:footnoteRef/>
      </w:r>
      <w:r w:rsidRPr="0024275F">
        <w:rPr>
          <w:rFonts w:cs="Traditional Arabic"/>
          <w:sz w:val="26"/>
          <w:szCs w:val="26"/>
          <w:rtl/>
        </w:rPr>
        <w:t>)</w:t>
      </w:r>
      <w:r w:rsidRPr="0024275F">
        <w:rPr>
          <w:rFonts w:cs="Traditional Arabic" w:hint="cs"/>
          <w:sz w:val="26"/>
          <w:szCs w:val="26"/>
          <w:rtl/>
        </w:rPr>
        <w:t xml:space="preserve"> </w:t>
      </w:r>
      <w:r w:rsidRPr="0024275F">
        <w:rPr>
          <w:rFonts w:asciiTheme="majorBidi" w:hAnsiTheme="majorBidi" w:cstheme="majorBidi"/>
          <w:sz w:val="18"/>
          <w:szCs w:val="18"/>
        </w:rPr>
        <w:t>UNEP/FAO/RC/COP.8/12/Add.1</w:t>
      </w:r>
      <w:r w:rsidRPr="0024275F">
        <w:rPr>
          <w:rFonts w:ascii="Traditional Arabic" w:hAnsi="Traditional Arabic" w:cs="Traditional Arabic"/>
          <w:sz w:val="26"/>
          <w:szCs w:val="26"/>
        </w:rPr>
        <w:t xml:space="preserve"> </w:t>
      </w:r>
      <w:r w:rsidRPr="0024275F">
        <w:rPr>
          <w:rFonts w:cs="Traditional Arabic" w:hint="cs"/>
          <w:sz w:val="26"/>
          <w:szCs w:val="26"/>
          <w:rtl/>
        </w:rPr>
        <w:t>، المرفق.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4994"/>
    <w:rsid w:val="00363D9B"/>
    <w:rsid w:val="00CD6F2D"/>
    <w:rsid w:val="00EC4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994"/>
    <w:pPr>
      <w:bidi/>
      <w:spacing w:after="0" w:line="240" w:lineRule="auto"/>
    </w:pPr>
    <w:rPr>
      <w:rFonts w:ascii="Times" w:eastAsia="Times New Roman" w:hAnsi="Times" w:cs="Simplified Arabic"/>
      <w:noProof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DNV-FT,Geneva 9,Font: Geneva 9,Boston 10,f,Car,-E Fußnotentext,ft,Fußnote,Fußnotentext Ursprung,fn,footnote text,Footnotes,Footnote ak,fn cafc,Footnotes Char Char,Footnote Text Char Char,fn Char Char,footnote text Char Char Char Ch,93,Char"/>
    <w:basedOn w:val="Normal"/>
    <w:link w:val="FootnoteTextChar"/>
    <w:rsid w:val="00EC4994"/>
    <w:rPr>
      <w:szCs w:val="20"/>
    </w:rPr>
  </w:style>
  <w:style w:type="character" w:customStyle="1" w:styleId="FootnoteTextChar">
    <w:name w:val="Footnote Text Char"/>
    <w:aliases w:val="DNV-FT Char,Geneva 9 Char,Font: Geneva 9 Char,Boston 10 Char,f Char,Car Char,-E Fußnotentext Char,ft Char,Fußnote Char,Fußnotentext Ursprung Char,fn Char,footnote text Char,Footnotes Char,Footnote ak Char,fn cafc Char,93 Char"/>
    <w:basedOn w:val="DefaultParagraphFont"/>
    <w:link w:val="FootnoteText"/>
    <w:rsid w:val="00EC4994"/>
    <w:rPr>
      <w:rFonts w:ascii="Times" w:eastAsia="Times New Roman" w:hAnsi="Times" w:cs="Simplified Arabic"/>
      <w:noProof/>
      <w:sz w:val="20"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Footnote Reference1"/>
    <w:rsid w:val="00EC499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830</Characters>
  <Application>Microsoft Office Word</Application>
  <DocSecurity>0</DocSecurity>
  <Lines>6</Lines>
  <Paragraphs>1</Paragraphs>
  <ScaleCrop>false</ScaleCrop>
  <Company>BRS</Company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2018-01-29T14:46:00Z</dcterms:created>
  <dcterms:modified xsi:type="dcterms:W3CDTF">2018-01-29T14:47:00Z</dcterms:modified>
</cp:coreProperties>
</file>