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7CD" w:rsidRPr="0024275F" w:rsidRDefault="001527CD" w:rsidP="001527CD">
      <w:pPr>
        <w:spacing w:after="240" w:line="400" w:lineRule="exact"/>
        <w:ind w:left="1128" w:firstLine="6"/>
        <w:jc w:val="both"/>
        <w:rPr>
          <w:rFonts w:ascii="Traditional Arabic" w:hAnsi="Traditional Arabic"/>
          <w:b/>
          <w:bCs/>
          <w:noProof w:val="0"/>
          <w:sz w:val="32"/>
          <w:szCs w:val="32"/>
          <w:lang w:val="en-GB" w:eastAsia="zh-TW"/>
        </w:rPr>
      </w:pPr>
      <w:r w:rsidRPr="0024275F"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 xml:space="preserve">المقرر </w:t>
      </w:r>
      <w:r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>ا</w:t>
      </w:r>
      <w:r w:rsidRPr="0024275F">
        <w:rPr>
          <w:rFonts w:ascii="Traditional Arabic" w:hAnsi="Traditional Arabic" w:cs="Traditional Arabic"/>
          <w:b/>
          <w:bCs/>
          <w:noProof w:val="0"/>
          <w:sz w:val="32"/>
          <w:szCs w:val="32"/>
          <w:rtl/>
          <w:lang w:val="en-GB" w:eastAsia="zh-TW"/>
        </w:rPr>
        <w:t xml:space="preserve"> ر-8/5: إدراج مركبات القصدير الثلاثي البيوتيل في المرفق الثالث لاتفاقية روتردام</w:t>
      </w:r>
    </w:p>
    <w:p w:rsidR="001527CD" w:rsidRDefault="001527CD" w:rsidP="001527CD">
      <w:pPr>
        <w:spacing w:after="120" w:line="400" w:lineRule="exact"/>
        <w:ind w:left="1134" w:firstLine="567"/>
        <w:jc w:val="both"/>
        <w:rPr>
          <w:rFonts w:cs="Traditional Arabic"/>
          <w:i/>
          <w:iCs/>
          <w:noProof w:val="0"/>
          <w:sz w:val="30"/>
          <w:szCs w:val="30"/>
          <w:rtl/>
          <w:lang w:val="en-GB"/>
        </w:rPr>
      </w:pPr>
      <w:r w:rsidRPr="00C6506C">
        <w:rPr>
          <w:rFonts w:cs="Traditional Arabic"/>
          <w:i/>
          <w:iCs/>
          <w:noProof w:val="0"/>
          <w:sz w:val="30"/>
          <w:szCs w:val="30"/>
          <w:rtl/>
          <w:lang w:val="en-GB"/>
        </w:rPr>
        <w:t>إن مؤتمر الأطراف،</w:t>
      </w:r>
    </w:p>
    <w:p w:rsidR="001527CD" w:rsidRDefault="001527CD" w:rsidP="001527CD">
      <w:pPr>
        <w:spacing w:after="120" w:line="400" w:lineRule="exact"/>
        <w:ind w:left="1134" w:firstLine="567"/>
        <w:jc w:val="both"/>
        <w:rPr>
          <w:rFonts w:cs="Traditional Arabic"/>
          <w:noProof w:val="0"/>
          <w:sz w:val="30"/>
          <w:szCs w:val="30"/>
          <w:rtl/>
          <w:lang w:val="en-GB"/>
        </w:rPr>
      </w:pPr>
      <w:r w:rsidRPr="00C6506C">
        <w:rPr>
          <w:rFonts w:cs="Traditional Arabic"/>
          <w:i/>
          <w:iCs/>
          <w:noProof w:val="0"/>
          <w:sz w:val="30"/>
          <w:szCs w:val="30"/>
          <w:rtl/>
          <w:lang w:val="en-GB"/>
        </w:rPr>
        <w:t>إذ يلاحظ مع التقدير</w:t>
      </w:r>
      <w:r>
        <w:rPr>
          <w:rFonts w:cs="Traditional Arabic"/>
          <w:noProof w:val="0"/>
          <w:sz w:val="30"/>
          <w:szCs w:val="30"/>
          <w:rtl/>
          <w:lang w:val="en-GB"/>
        </w:rPr>
        <w:t xml:space="preserve"> عمل لجنة استعراض المواد الكيميائية،</w:t>
      </w:r>
    </w:p>
    <w:p w:rsidR="001527CD" w:rsidRDefault="001527CD" w:rsidP="001527CD">
      <w:pPr>
        <w:spacing w:after="120" w:line="400" w:lineRule="exact"/>
        <w:ind w:left="1134" w:firstLine="567"/>
        <w:jc w:val="both"/>
        <w:rPr>
          <w:rFonts w:cs="Traditional Arabic"/>
          <w:noProof w:val="0"/>
          <w:sz w:val="30"/>
          <w:szCs w:val="30"/>
          <w:rtl/>
          <w:lang w:val="en-GB"/>
        </w:rPr>
      </w:pPr>
      <w:r w:rsidRPr="00CD63E3">
        <w:rPr>
          <w:rFonts w:cs="Traditional Arabic"/>
          <w:i/>
          <w:iCs/>
          <w:noProof w:val="0"/>
          <w:sz w:val="30"/>
          <w:szCs w:val="30"/>
          <w:rtl/>
          <w:lang w:val="en-GB"/>
        </w:rPr>
        <w:t>وقد نظر</w:t>
      </w:r>
      <w:r>
        <w:rPr>
          <w:rFonts w:cs="Traditional Arabic"/>
          <w:noProof w:val="0"/>
          <w:sz w:val="30"/>
          <w:szCs w:val="30"/>
          <w:rtl/>
          <w:lang w:val="en-GB"/>
        </w:rPr>
        <w:t xml:space="preserve"> في توصية لجنة استعراض المواد الكيميائية بإخضاع مركبات القصدير الثلاثي البيوتيل لإجراء الموافقة المسبقة عن علم وبالتالي إدراج هذه المواد الكيميائية في المرفق الثالث لاتفاقية روتردام </w:t>
      </w:r>
      <w:r>
        <w:rPr>
          <w:rFonts w:cs="Traditional Arabic"/>
          <w:noProof w:val="0"/>
          <w:sz w:val="30"/>
          <w:szCs w:val="30"/>
          <w:rtl/>
        </w:rPr>
        <w:t>المتعلقة</w:t>
      </w:r>
      <w:r w:rsidRPr="006F0ABD">
        <w:rPr>
          <w:rFonts w:cs="Traditional Arabic"/>
          <w:noProof w:val="0"/>
          <w:sz w:val="30"/>
          <w:szCs w:val="30"/>
          <w:rtl/>
        </w:rPr>
        <w:t xml:space="preserve"> </w:t>
      </w:r>
      <w:r>
        <w:rPr>
          <w:rFonts w:cs="Traditional Arabic"/>
          <w:noProof w:val="0"/>
          <w:sz w:val="30"/>
          <w:szCs w:val="30"/>
          <w:rtl/>
        </w:rPr>
        <w:t>ب</w:t>
      </w:r>
      <w:r w:rsidRPr="006F0ABD">
        <w:rPr>
          <w:rFonts w:cs="Traditional Arabic"/>
          <w:noProof w:val="0"/>
          <w:sz w:val="30"/>
          <w:szCs w:val="30"/>
          <w:rtl/>
        </w:rPr>
        <w:t>تطبيق إجراء الموافقة المسبقة عن علم على مواد كيميائية ومبيدات آفات معينة خطرة متداولة في التجارة الدولية</w:t>
      </w:r>
      <w:r>
        <w:rPr>
          <w:rFonts w:cs="Traditional Arabic"/>
          <w:noProof w:val="0"/>
          <w:sz w:val="30"/>
          <w:szCs w:val="30"/>
          <w:rtl/>
          <w:lang w:val="en-GB"/>
        </w:rPr>
        <w:t>، بوصفها مواد كيميائية صناعية،</w:t>
      </w:r>
    </w:p>
    <w:p w:rsidR="001527CD" w:rsidRDefault="001527CD" w:rsidP="001527CD">
      <w:pPr>
        <w:spacing w:after="120" w:line="400" w:lineRule="exact"/>
        <w:ind w:left="1134" w:firstLine="567"/>
        <w:jc w:val="both"/>
        <w:rPr>
          <w:rFonts w:cs="Traditional Arabic"/>
          <w:noProof w:val="0"/>
          <w:sz w:val="30"/>
          <w:szCs w:val="30"/>
          <w:rtl/>
          <w:lang w:val="en-GB"/>
        </w:rPr>
      </w:pPr>
      <w:r>
        <w:rPr>
          <w:rFonts w:cs="Traditional Arabic"/>
          <w:i/>
          <w:iCs/>
          <w:noProof w:val="0"/>
          <w:sz w:val="30"/>
          <w:szCs w:val="30"/>
          <w:rtl/>
          <w:lang w:val="en-GB"/>
        </w:rPr>
        <w:t xml:space="preserve">وقد </w:t>
      </w:r>
      <w:r>
        <w:rPr>
          <w:rFonts w:ascii="Times New Roman" w:hAnsi="Times New Roman" w:cs="Traditional Arabic" w:hint="cs"/>
          <w:i/>
          <w:iCs/>
          <w:noProof w:val="0"/>
          <w:sz w:val="30"/>
          <w:szCs w:val="30"/>
          <w:rtl/>
          <w:lang w:val="en-GB"/>
        </w:rPr>
        <w:t>إ</w:t>
      </w:r>
      <w:r w:rsidRPr="006F5017">
        <w:rPr>
          <w:rFonts w:ascii="Times New Roman" w:hAnsi="Times New Roman" w:cs="Traditional Arabic"/>
          <w:i/>
          <w:iCs/>
          <w:noProof w:val="0"/>
          <w:sz w:val="30"/>
          <w:szCs w:val="30"/>
          <w:rtl/>
          <w:lang w:val="en-GB"/>
        </w:rPr>
        <w:t>قتنع</w:t>
      </w:r>
      <w:r w:rsidRPr="00C6506C">
        <w:rPr>
          <w:rFonts w:cs="Traditional Arabic"/>
          <w:noProof w:val="0"/>
          <w:sz w:val="30"/>
          <w:szCs w:val="30"/>
          <w:rtl/>
          <w:lang w:val="en-GB"/>
        </w:rPr>
        <w:t xml:space="preserve"> بأن جميع اشتراطات الإدراج في المرفق الثالث لاتفاقية روتردام قد </w:t>
      </w:r>
      <w:r>
        <w:rPr>
          <w:rFonts w:cs="Traditional Arabic"/>
          <w:noProof w:val="0"/>
          <w:sz w:val="30"/>
          <w:szCs w:val="30"/>
          <w:rtl/>
          <w:lang w:val="en-GB"/>
        </w:rPr>
        <w:t>استوفيت،</w:t>
      </w:r>
    </w:p>
    <w:p w:rsidR="001527CD" w:rsidRDefault="001527CD" w:rsidP="001527CD">
      <w:pPr>
        <w:tabs>
          <w:tab w:val="right" w:pos="1700"/>
          <w:tab w:val="left" w:pos="2267"/>
        </w:tabs>
        <w:spacing w:after="240" w:line="400" w:lineRule="exact"/>
        <w:ind w:left="1134" w:firstLine="567"/>
        <w:jc w:val="both"/>
        <w:rPr>
          <w:rFonts w:cs="Traditional Arabic"/>
          <w:noProof w:val="0"/>
          <w:sz w:val="30"/>
          <w:szCs w:val="30"/>
          <w:rtl/>
          <w:lang w:val="en-GB"/>
        </w:rPr>
      </w:pPr>
      <w:r>
        <w:rPr>
          <w:rFonts w:cs="Traditional Arabic"/>
          <w:noProof w:val="0"/>
          <w:sz w:val="30"/>
          <w:szCs w:val="30"/>
          <w:rtl/>
          <w:lang w:val="en-GB"/>
        </w:rPr>
        <w:t>1 -</w:t>
      </w:r>
      <w:r>
        <w:rPr>
          <w:rFonts w:cs="Traditional Arabic"/>
          <w:noProof w:val="0"/>
          <w:sz w:val="30"/>
          <w:szCs w:val="30"/>
          <w:rtl/>
          <w:lang w:val="en-GB"/>
        </w:rPr>
        <w:tab/>
      </w:r>
      <w:r w:rsidRPr="006F5017">
        <w:rPr>
          <w:rFonts w:cs="Traditional Arabic"/>
          <w:i/>
          <w:iCs/>
          <w:noProof w:val="0"/>
          <w:sz w:val="30"/>
          <w:szCs w:val="30"/>
          <w:rtl/>
          <w:lang w:val="en-GB"/>
        </w:rPr>
        <w:t>يقرر</w:t>
      </w:r>
      <w:r w:rsidRPr="00C6506C">
        <w:rPr>
          <w:rFonts w:cs="Traditional Arabic"/>
          <w:noProof w:val="0"/>
          <w:sz w:val="30"/>
          <w:szCs w:val="30"/>
          <w:rtl/>
          <w:lang w:val="en-GB"/>
        </w:rPr>
        <w:t xml:space="preserve"> تعديل المرفق الثالث لاتفاقية روتردام لإدراج المواد الكيميائية التالية:</w:t>
      </w:r>
    </w:p>
    <w:tbl>
      <w:tblPr>
        <w:tblStyle w:val="TableGrid"/>
        <w:bidiVisual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9"/>
        <w:gridCol w:w="450"/>
        <w:gridCol w:w="2351"/>
        <w:gridCol w:w="210"/>
        <w:gridCol w:w="1273"/>
      </w:tblGrid>
      <w:tr w:rsidR="001527CD" w:rsidTr="003A3A2C">
        <w:tc>
          <w:tcPr>
            <w:tcW w:w="4079" w:type="dxa"/>
            <w:tcBorders>
              <w:top w:val="single" w:sz="4" w:space="0" w:color="auto"/>
              <w:bottom w:val="single" w:sz="12" w:space="0" w:color="auto"/>
            </w:tcBorders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  <w:r w:rsidRPr="0024275F">
              <w:rPr>
                <w:noProof w:val="0"/>
                <w:sz w:val="30"/>
                <w:szCs w:val="30"/>
              </w:rPr>
              <w:br w:type="page"/>
            </w:r>
            <w:r w:rsidRPr="0024275F">
              <w:rPr>
                <w:noProof w:val="0"/>
                <w:sz w:val="30"/>
                <w:szCs w:val="30"/>
              </w:rPr>
              <w:br w:type="page"/>
            </w:r>
            <w:r w:rsidRPr="0024275F">
              <w:rPr>
                <w:rFonts w:cs="Traditional Arabic"/>
                <w:b/>
                <w:bCs/>
                <w:noProof w:val="0"/>
                <w:sz w:val="30"/>
                <w:szCs w:val="30"/>
                <w:rtl/>
                <w:lang w:val="en-GB"/>
              </w:rPr>
              <w:t>المادة الكيميائية</w:t>
            </w:r>
          </w:p>
        </w:tc>
        <w:tc>
          <w:tcPr>
            <w:tcW w:w="3011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1527CD" w:rsidRPr="00CB714D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center"/>
              <w:rPr>
                <w:rFonts w:cs="Traditional Arabic"/>
                <w:b/>
                <w:bCs/>
                <w:noProof w:val="0"/>
                <w:sz w:val="30"/>
                <w:szCs w:val="30"/>
                <w:rtl/>
                <w:lang w:val="en-GB"/>
              </w:rPr>
            </w:pPr>
            <w:r w:rsidRPr="00CB714D">
              <w:rPr>
                <w:rFonts w:ascii="Times New Roman" w:hAnsi="Times New Roman" w:cs="Traditional Arabic"/>
                <w:b/>
                <w:bCs/>
                <w:noProof w:val="0"/>
                <w:sz w:val="30"/>
                <w:szCs w:val="30"/>
                <w:rtl/>
                <w:lang w:val="en-GB"/>
              </w:rPr>
              <w:t>رقم/(أرقام) التسجيل</w:t>
            </w:r>
            <w:r w:rsidRPr="00CB714D">
              <w:rPr>
                <w:rFonts w:ascii="Times New Roman" w:hAnsi="Times New Roman" w:cs="Traditional Arabic"/>
                <w:b/>
                <w:bCs/>
                <w:sz w:val="30"/>
                <w:szCs w:val="30"/>
                <w:rtl/>
                <w:lang w:val="en-GB"/>
              </w:rPr>
              <w:t xml:space="preserve"> في دائرة المستخلصات الكيميائية</w:t>
            </w:r>
          </w:p>
        </w:tc>
        <w:tc>
          <w:tcPr>
            <w:tcW w:w="1273" w:type="dxa"/>
            <w:tcBorders>
              <w:top w:val="single" w:sz="4" w:space="0" w:color="auto"/>
              <w:bottom w:val="single" w:sz="12" w:space="0" w:color="auto"/>
            </w:tcBorders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center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  <w:r w:rsidRPr="0024275F">
              <w:rPr>
                <w:rFonts w:cs="Traditional Arabic"/>
                <w:b/>
                <w:bCs/>
                <w:noProof w:val="0"/>
                <w:sz w:val="30"/>
                <w:szCs w:val="30"/>
                <w:rtl/>
                <w:lang w:val="en-GB"/>
              </w:rPr>
              <w:t>الفئة</w:t>
            </w:r>
          </w:p>
        </w:tc>
      </w:tr>
      <w:tr w:rsidR="001527CD" w:rsidTr="003A3A2C">
        <w:tc>
          <w:tcPr>
            <w:tcW w:w="4079" w:type="dxa"/>
            <w:tcBorders>
              <w:top w:val="single" w:sz="12" w:space="0" w:color="auto"/>
            </w:tcBorders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  <w:r w:rsidRPr="0024275F"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  <w:t>جميع مركبات القصدير الثلاثي البيوتيل، بما في ذلك:</w:t>
            </w:r>
          </w:p>
        </w:tc>
        <w:tc>
          <w:tcPr>
            <w:tcW w:w="3011" w:type="dxa"/>
            <w:gridSpan w:val="3"/>
            <w:tcBorders>
              <w:top w:val="single" w:sz="12" w:space="0" w:color="auto"/>
            </w:tcBorders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both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</w:p>
        </w:tc>
        <w:tc>
          <w:tcPr>
            <w:tcW w:w="1273" w:type="dxa"/>
            <w:tcBorders>
              <w:top w:val="single" w:sz="12" w:space="0" w:color="auto"/>
            </w:tcBorders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center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  <w:r w:rsidRPr="0024275F"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  <w:t>مادة صناعية</w:t>
            </w:r>
          </w:p>
        </w:tc>
      </w:tr>
      <w:tr w:rsidR="001527CD" w:rsidTr="003A3A2C">
        <w:tc>
          <w:tcPr>
            <w:tcW w:w="4529" w:type="dxa"/>
            <w:gridSpan w:val="2"/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  <w:r w:rsidRPr="0024275F"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  <w:t>- أكسيد القصدير الثلاثي البيوتيل</w:t>
            </w:r>
          </w:p>
        </w:tc>
        <w:tc>
          <w:tcPr>
            <w:tcW w:w="2561" w:type="dxa"/>
            <w:gridSpan w:val="2"/>
          </w:tcPr>
          <w:p w:rsidR="001527CD" w:rsidRPr="00CB714D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both"/>
              <w:rPr>
                <w:rFonts w:ascii="Traditional Arabic" w:hAnsi="Traditional Arabic" w:cs="Traditional Arabic"/>
                <w:noProof w:val="0"/>
                <w:sz w:val="24"/>
                <w:szCs w:val="24"/>
                <w:rtl/>
                <w:lang w:val="en-GB"/>
              </w:rPr>
            </w:pPr>
            <w:r w:rsidRPr="00CB714D"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  <w:t>56-35-9</w:t>
            </w:r>
          </w:p>
        </w:tc>
        <w:tc>
          <w:tcPr>
            <w:tcW w:w="1273" w:type="dxa"/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center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</w:p>
        </w:tc>
      </w:tr>
      <w:tr w:rsidR="001527CD" w:rsidTr="003A3A2C">
        <w:tc>
          <w:tcPr>
            <w:tcW w:w="4529" w:type="dxa"/>
            <w:gridSpan w:val="2"/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  <w:r w:rsidRPr="0024275F"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  <w:t>- فلوريد القصدير الثلاثي البيوتيل</w:t>
            </w:r>
          </w:p>
        </w:tc>
        <w:tc>
          <w:tcPr>
            <w:tcW w:w="2561" w:type="dxa"/>
            <w:gridSpan w:val="2"/>
          </w:tcPr>
          <w:p w:rsidR="001527CD" w:rsidRPr="00CB714D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both"/>
              <w:rPr>
                <w:rFonts w:ascii="Traditional Arabic" w:hAnsi="Traditional Arabic" w:cs="Traditional Arabic"/>
                <w:noProof w:val="0"/>
                <w:sz w:val="24"/>
                <w:szCs w:val="24"/>
                <w:rtl/>
                <w:lang w:val="en-GB"/>
              </w:rPr>
            </w:pPr>
            <w:r w:rsidRPr="00CB714D"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  <w:t>1983-10-4</w:t>
            </w:r>
          </w:p>
        </w:tc>
        <w:tc>
          <w:tcPr>
            <w:tcW w:w="1273" w:type="dxa"/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center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</w:p>
        </w:tc>
      </w:tr>
      <w:tr w:rsidR="001527CD" w:rsidTr="003A3A2C">
        <w:tc>
          <w:tcPr>
            <w:tcW w:w="4529" w:type="dxa"/>
            <w:gridSpan w:val="2"/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  <w:r w:rsidRPr="0024275F"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  <w:t>- ميتاكريلات القصدير الثلاثي البيوتيل</w:t>
            </w:r>
          </w:p>
        </w:tc>
        <w:tc>
          <w:tcPr>
            <w:tcW w:w="2561" w:type="dxa"/>
            <w:gridSpan w:val="2"/>
          </w:tcPr>
          <w:p w:rsidR="001527CD" w:rsidRPr="00CB714D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both"/>
              <w:rPr>
                <w:rFonts w:ascii="Traditional Arabic" w:hAnsi="Traditional Arabic" w:cs="Traditional Arabic"/>
                <w:noProof w:val="0"/>
                <w:sz w:val="24"/>
                <w:szCs w:val="24"/>
                <w:rtl/>
                <w:lang w:val="en-GB"/>
              </w:rPr>
            </w:pPr>
            <w:r w:rsidRPr="00CB714D">
              <w:rPr>
                <w:rFonts w:ascii="Traditional Arabic" w:hAnsi="Traditional Arabic" w:cs="Traditional Arabic"/>
                <w:noProof w:val="0"/>
                <w:sz w:val="24"/>
                <w:szCs w:val="24"/>
                <w:lang w:val="en-GB"/>
              </w:rPr>
              <w:t>2155-70-6</w:t>
            </w:r>
          </w:p>
        </w:tc>
        <w:tc>
          <w:tcPr>
            <w:tcW w:w="1273" w:type="dxa"/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center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</w:p>
        </w:tc>
      </w:tr>
      <w:tr w:rsidR="001527CD" w:rsidTr="003A3A2C">
        <w:tc>
          <w:tcPr>
            <w:tcW w:w="4529" w:type="dxa"/>
            <w:gridSpan w:val="2"/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  <w:r w:rsidRPr="0024275F"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  <w:t>- بنزوات القصدير الثلاثي البيوتيل</w:t>
            </w:r>
          </w:p>
        </w:tc>
        <w:tc>
          <w:tcPr>
            <w:tcW w:w="2561" w:type="dxa"/>
            <w:gridSpan w:val="2"/>
          </w:tcPr>
          <w:p w:rsidR="001527CD" w:rsidRPr="00CB714D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both"/>
              <w:rPr>
                <w:rFonts w:ascii="Traditional Arabic" w:hAnsi="Traditional Arabic" w:cs="Traditional Arabic"/>
                <w:noProof w:val="0"/>
                <w:sz w:val="24"/>
                <w:szCs w:val="24"/>
                <w:rtl/>
                <w:lang w:val="en-GB"/>
              </w:rPr>
            </w:pPr>
            <w:r w:rsidRPr="00CB714D"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  <w:t>4342-36-3</w:t>
            </w:r>
          </w:p>
        </w:tc>
        <w:tc>
          <w:tcPr>
            <w:tcW w:w="1273" w:type="dxa"/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center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</w:p>
        </w:tc>
      </w:tr>
      <w:tr w:rsidR="001527CD" w:rsidTr="003A3A2C">
        <w:tc>
          <w:tcPr>
            <w:tcW w:w="4529" w:type="dxa"/>
            <w:gridSpan w:val="2"/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  <w:r w:rsidRPr="0024275F"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  <w:t>- كلوريد القصدير الثلاثي البيوتيل</w:t>
            </w:r>
          </w:p>
        </w:tc>
        <w:tc>
          <w:tcPr>
            <w:tcW w:w="2561" w:type="dxa"/>
            <w:gridSpan w:val="2"/>
          </w:tcPr>
          <w:p w:rsidR="001527CD" w:rsidRPr="00CB714D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both"/>
              <w:rPr>
                <w:rFonts w:ascii="Traditional Arabic" w:hAnsi="Traditional Arabic" w:cs="Traditional Arabic"/>
                <w:noProof w:val="0"/>
                <w:sz w:val="24"/>
                <w:szCs w:val="24"/>
                <w:rtl/>
                <w:lang w:val="en-GB"/>
              </w:rPr>
            </w:pPr>
            <w:r w:rsidRPr="00CB714D"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  <w:t>1461-22-9</w:t>
            </w:r>
          </w:p>
        </w:tc>
        <w:tc>
          <w:tcPr>
            <w:tcW w:w="1273" w:type="dxa"/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center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</w:p>
        </w:tc>
      </w:tr>
      <w:tr w:rsidR="001527CD" w:rsidTr="003A3A2C">
        <w:tc>
          <w:tcPr>
            <w:tcW w:w="4529" w:type="dxa"/>
            <w:gridSpan w:val="2"/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  <w:r w:rsidRPr="0024275F"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  <w:t>- لينوليات القصدير الثلاثي البيوتيل</w:t>
            </w:r>
          </w:p>
        </w:tc>
        <w:tc>
          <w:tcPr>
            <w:tcW w:w="2351" w:type="dxa"/>
          </w:tcPr>
          <w:p w:rsidR="001527CD" w:rsidRPr="00CB714D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both"/>
              <w:rPr>
                <w:rFonts w:ascii="Traditional Arabic" w:hAnsi="Traditional Arabic" w:cs="Traditional Arabic"/>
                <w:noProof w:val="0"/>
                <w:sz w:val="24"/>
                <w:szCs w:val="24"/>
                <w:rtl/>
                <w:lang w:val="en-GB"/>
              </w:rPr>
            </w:pPr>
            <w:r w:rsidRPr="00CB714D"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  <w:t>24124-25-2</w:t>
            </w:r>
          </w:p>
        </w:tc>
        <w:tc>
          <w:tcPr>
            <w:tcW w:w="1483" w:type="dxa"/>
            <w:gridSpan w:val="2"/>
          </w:tcPr>
          <w:p w:rsidR="001527CD" w:rsidRPr="00CB714D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center"/>
              <w:rPr>
                <w:rFonts w:ascii="Traditional Arabic" w:hAnsi="Traditional Arabic" w:cs="Traditional Arabic"/>
                <w:noProof w:val="0"/>
                <w:sz w:val="24"/>
                <w:szCs w:val="24"/>
                <w:rtl/>
                <w:lang w:val="en-GB"/>
              </w:rPr>
            </w:pPr>
          </w:p>
        </w:tc>
      </w:tr>
      <w:tr w:rsidR="001527CD" w:rsidRPr="00A729D9" w:rsidTr="003A3A2C">
        <w:tc>
          <w:tcPr>
            <w:tcW w:w="4529" w:type="dxa"/>
            <w:gridSpan w:val="2"/>
            <w:tcBorders>
              <w:bottom w:val="single" w:sz="12" w:space="0" w:color="auto"/>
            </w:tcBorders>
          </w:tcPr>
          <w:p w:rsidR="001527CD" w:rsidRPr="0024275F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</w:pPr>
            <w:r w:rsidRPr="0024275F">
              <w:rPr>
                <w:rFonts w:cs="Traditional Arabic"/>
                <w:noProof w:val="0"/>
                <w:sz w:val="30"/>
                <w:szCs w:val="30"/>
                <w:rtl/>
                <w:lang w:val="en-GB"/>
              </w:rPr>
              <w:t>- نفثينات القصدير الثلاثي البيوتيل</w:t>
            </w:r>
          </w:p>
        </w:tc>
        <w:tc>
          <w:tcPr>
            <w:tcW w:w="2351" w:type="dxa"/>
            <w:tcBorders>
              <w:bottom w:val="single" w:sz="12" w:space="0" w:color="auto"/>
            </w:tcBorders>
          </w:tcPr>
          <w:p w:rsidR="001527CD" w:rsidRPr="00CB714D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both"/>
              <w:rPr>
                <w:rFonts w:ascii="Traditional Arabic" w:hAnsi="Traditional Arabic" w:cs="Traditional Arabic"/>
                <w:noProof w:val="0"/>
                <w:sz w:val="24"/>
                <w:szCs w:val="24"/>
                <w:rtl/>
                <w:lang w:val="en-GB"/>
              </w:rPr>
            </w:pPr>
            <w:r w:rsidRPr="00CB714D">
              <w:rPr>
                <w:rFonts w:ascii="Traditional Arabic" w:hAnsi="Traditional Arabic" w:cs="Traditional Arabic"/>
                <w:sz w:val="24"/>
                <w:szCs w:val="24"/>
                <w:lang w:val="en-GB"/>
              </w:rPr>
              <w:t>85409-17-2</w:t>
            </w:r>
          </w:p>
        </w:tc>
        <w:tc>
          <w:tcPr>
            <w:tcW w:w="1483" w:type="dxa"/>
            <w:gridSpan w:val="2"/>
            <w:tcBorders>
              <w:bottom w:val="single" w:sz="12" w:space="0" w:color="auto"/>
            </w:tcBorders>
          </w:tcPr>
          <w:p w:rsidR="001527CD" w:rsidRPr="00CB714D" w:rsidRDefault="001527CD" w:rsidP="003A3A2C">
            <w:pPr>
              <w:tabs>
                <w:tab w:val="left" w:pos="2976"/>
                <w:tab w:val="left" w:pos="3401"/>
              </w:tabs>
              <w:spacing w:after="60" w:line="360" w:lineRule="exact"/>
              <w:jc w:val="center"/>
              <w:rPr>
                <w:rFonts w:ascii="Traditional Arabic" w:hAnsi="Traditional Arabic" w:cs="Traditional Arabic"/>
                <w:noProof w:val="0"/>
                <w:sz w:val="24"/>
                <w:szCs w:val="24"/>
                <w:rtl/>
                <w:lang w:val="en-GB"/>
              </w:rPr>
            </w:pPr>
          </w:p>
        </w:tc>
      </w:tr>
    </w:tbl>
    <w:p w:rsidR="001527CD" w:rsidRDefault="001527CD" w:rsidP="001527CD">
      <w:pPr>
        <w:tabs>
          <w:tab w:val="left" w:pos="2267"/>
        </w:tabs>
        <w:spacing w:before="240" w:after="120" w:line="400" w:lineRule="exact"/>
        <w:ind w:left="1133" w:firstLine="567"/>
        <w:jc w:val="both"/>
        <w:rPr>
          <w:rFonts w:cs="Traditional Arabic"/>
          <w:noProof w:val="0"/>
          <w:sz w:val="30"/>
          <w:szCs w:val="30"/>
          <w:rtl/>
          <w:lang w:val="en-GB"/>
        </w:rPr>
      </w:pPr>
      <w:r w:rsidRPr="006F5017">
        <w:rPr>
          <w:rFonts w:cs="Traditional Arabic"/>
          <w:noProof w:val="0"/>
          <w:sz w:val="30"/>
          <w:szCs w:val="30"/>
          <w:rtl/>
          <w:lang w:val="en-GB"/>
        </w:rPr>
        <w:t>2 -</w:t>
      </w:r>
      <w:r w:rsidRPr="006F5017">
        <w:rPr>
          <w:rFonts w:cs="Traditional Arabic"/>
          <w:noProof w:val="0"/>
          <w:sz w:val="30"/>
          <w:szCs w:val="30"/>
          <w:rtl/>
          <w:lang w:val="en-GB"/>
        </w:rPr>
        <w:tab/>
      </w:r>
      <w:r w:rsidRPr="00CD63E3">
        <w:rPr>
          <w:rFonts w:cs="Traditional Arabic"/>
          <w:i/>
          <w:iCs/>
          <w:noProof w:val="0"/>
          <w:sz w:val="30"/>
          <w:szCs w:val="30"/>
          <w:rtl/>
          <w:lang w:val="en-GB"/>
        </w:rPr>
        <w:t>يقرر</w:t>
      </w:r>
      <w:r>
        <w:rPr>
          <w:rFonts w:cs="Traditional Arabic"/>
          <w:noProof w:val="0"/>
          <w:sz w:val="30"/>
          <w:szCs w:val="30"/>
          <w:rtl/>
          <w:lang w:val="en-GB"/>
        </w:rPr>
        <w:t xml:space="preserve"> </w:t>
      </w:r>
      <w:r w:rsidRPr="00EF3EC8">
        <w:rPr>
          <w:rFonts w:cs="Traditional Arabic"/>
          <w:i/>
          <w:iCs/>
          <w:noProof w:val="0"/>
          <w:sz w:val="30"/>
          <w:szCs w:val="30"/>
          <w:rtl/>
          <w:lang w:val="en-GB"/>
        </w:rPr>
        <w:t>كذلك</w:t>
      </w:r>
      <w:r>
        <w:rPr>
          <w:rFonts w:cs="Traditional Arabic"/>
          <w:noProof w:val="0"/>
          <w:sz w:val="30"/>
          <w:szCs w:val="30"/>
          <w:rtl/>
          <w:lang w:val="en-GB"/>
        </w:rPr>
        <w:t xml:space="preserve"> أن يدخل هذا التعديل حيز النفاذ فيما يخص جميع الأطراف في 15 أيلول/سبتمبر 2017؛</w:t>
      </w:r>
    </w:p>
    <w:p w:rsidR="001527CD" w:rsidRDefault="001527CD" w:rsidP="001527CD">
      <w:pPr>
        <w:pStyle w:val="ListParagraph"/>
        <w:tabs>
          <w:tab w:val="left" w:pos="2267"/>
        </w:tabs>
        <w:ind w:left="1133" w:firstLine="567"/>
        <w:rPr>
          <w:rFonts w:cs="Traditional Arabic"/>
          <w:noProof w:val="0"/>
          <w:sz w:val="30"/>
          <w:szCs w:val="30"/>
          <w:rtl/>
          <w:lang w:val="en-GB"/>
        </w:rPr>
      </w:pPr>
      <w:r>
        <w:rPr>
          <w:rFonts w:cs="Traditional Arabic"/>
          <w:noProof w:val="0"/>
          <w:sz w:val="30"/>
          <w:szCs w:val="30"/>
          <w:rtl/>
          <w:lang w:val="en-GB"/>
        </w:rPr>
        <w:t>3 -</w:t>
      </w:r>
      <w:r>
        <w:rPr>
          <w:rFonts w:cs="Traditional Arabic"/>
          <w:noProof w:val="0"/>
          <w:sz w:val="30"/>
          <w:szCs w:val="30"/>
          <w:rtl/>
          <w:lang w:val="en-GB"/>
        </w:rPr>
        <w:tab/>
      </w:r>
      <w:r w:rsidRPr="00EF3EC8">
        <w:rPr>
          <w:rFonts w:cs="Traditional Arabic"/>
          <w:i/>
          <w:iCs/>
          <w:noProof w:val="0"/>
          <w:sz w:val="30"/>
          <w:szCs w:val="30"/>
          <w:rtl/>
          <w:lang w:val="en-GB"/>
        </w:rPr>
        <w:t>يوافق</w:t>
      </w:r>
      <w:r>
        <w:rPr>
          <w:rFonts w:cs="Traditional Arabic"/>
          <w:noProof w:val="0"/>
          <w:sz w:val="30"/>
          <w:szCs w:val="30"/>
          <w:rtl/>
          <w:lang w:val="en-GB"/>
        </w:rPr>
        <w:t xml:space="preserve"> على وثيقة توجيه القرارات المنقحة بشأن مركبات القصدير الثلاثي البيوتيل</w:t>
      </w:r>
      <w:r w:rsidRPr="002D392D">
        <w:rPr>
          <w:rFonts w:ascii="Traditional Arabic" w:hAnsi="Traditional Arabic" w:cs="Traditional Arabic"/>
          <w:noProof w:val="0"/>
          <w:sz w:val="30"/>
          <w:szCs w:val="30"/>
          <w:vertAlign w:val="superscript"/>
          <w:rtl/>
          <w:lang w:eastAsia="zh-TW"/>
        </w:rPr>
        <w:t>(</w:t>
      </w:r>
      <w:r w:rsidRPr="002D392D">
        <w:rPr>
          <w:rStyle w:val="FootnoteReference"/>
          <w:rFonts w:ascii="Traditional Arabic" w:hAnsi="Traditional Arabic" w:cs="Traditional Arabic"/>
          <w:noProof w:val="0"/>
          <w:sz w:val="30"/>
          <w:szCs w:val="30"/>
          <w:rtl/>
          <w:lang w:eastAsia="zh-TW"/>
        </w:rPr>
        <w:footnoteReference w:id="1"/>
      </w:r>
      <w:r w:rsidRPr="002D392D">
        <w:rPr>
          <w:rFonts w:ascii="Traditional Arabic" w:hAnsi="Traditional Arabic" w:cs="Traditional Arabic"/>
          <w:noProof w:val="0"/>
          <w:sz w:val="30"/>
          <w:szCs w:val="30"/>
          <w:vertAlign w:val="superscript"/>
          <w:rtl/>
          <w:lang w:eastAsia="zh-TW"/>
        </w:rPr>
        <w:t>)</w:t>
      </w:r>
      <w:r w:rsidRPr="00F039BA">
        <w:rPr>
          <w:rFonts w:cs="Traditional Arabic"/>
          <w:noProof w:val="0"/>
          <w:sz w:val="30"/>
          <w:szCs w:val="30"/>
          <w:rtl/>
          <w:lang w:val="en-GB"/>
        </w:rPr>
        <w:t>.</w:t>
      </w:r>
    </w:p>
    <w:p w:rsidR="00CD6F2D" w:rsidRDefault="00CD6F2D"/>
    <w:sectPr w:rsidR="00CD6F2D" w:rsidSect="00CD6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B5D" w:rsidRDefault="00B05B5D" w:rsidP="001527CD">
      <w:r>
        <w:separator/>
      </w:r>
    </w:p>
  </w:endnote>
  <w:endnote w:type="continuationSeparator" w:id="0">
    <w:p w:rsidR="00B05B5D" w:rsidRDefault="00B05B5D" w:rsidP="001527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B5D" w:rsidRDefault="00B05B5D" w:rsidP="001527CD">
      <w:r>
        <w:separator/>
      </w:r>
    </w:p>
  </w:footnote>
  <w:footnote w:type="continuationSeparator" w:id="0">
    <w:p w:rsidR="00B05B5D" w:rsidRDefault="00B05B5D" w:rsidP="001527CD">
      <w:r>
        <w:continuationSeparator/>
      </w:r>
    </w:p>
  </w:footnote>
  <w:footnote w:id="1">
    <w:p w:rsidR="001527CD" w:rsidRPr="002D392D" w:rsidRDefault="001527CD" w:rsidP="001527CD">
      <w:pPr>
        <w:pStyle w:val="FootnoteText"/>
        <w:ind w:left="1133"/>
        <w:jc w:val="both"/>
        <w:textDirection w:val="tbRlV"/>
        <w:rPr>
          <w:sz w:val="26"/>
          <w:szCs w:val="26"/>
          <w:rtl/>
          <w:lang w:val="en-GB" w:eastAsia="zh-TW"/>
        </w:rPr>
      </w:pPr>
      <w:r w:rsidRPr="002D392D">
        <w:rPr>
          <w:rFonts w:cs="Traditional Arabic"/>
          <w:sz w:val="26"/>
          <w:szCs w:val="26"/>
          <w:rtl/>
        </w:rPr>
        <w:t>(</w:t>
      </w:r>
      <w:r w:rsidRPr="002D392D">
        <w:rPr>
          <w:rStyle w:val="FootnoteReference"/>
          <w:rFonts w:cs="Traditional Arabic"/>
          <w:sz w:val="26"/>
          <w:szCs w:val="26"/>
          <w:rtl/>
        </w:rPr>
        <w:footnoteRef/>
      </w:r>
      <w:r w:rsidRPr="002D392D">
        <w:rPr>
          <w:rFonts w:cs="Traditional Arabic"/>
          <w:sz w:val="26"/>
          <w:szCs w:val="26"/>
          <w:rtl/>
        </w:rPr>
        <w:t>)</w:t>
      </w:r>
      <w:r w:rsidRPr="002D392D">
        <w:rPr>
          <w:rFonts w:cs="Traditional Arabic" w:hint="cs"/>
          <w:sz w:val="26"/>
          <w:szCs w:val="26"/>
          <w:rtl/>
        </w:rPr>
        <w:t xml:space="preserve">  </w:t>
      </w:r>
      <w:r w:rsidRPr="002D392D">
        <w:rPr>
          <w:rFonts w:asciiTheme="majorBidi" w:hAnsiTheme="majorBidi" w:cstheme="majorBidi"/>
          <w:sz w:val="18"/>
          <w:szCs w:val="18"/>
        </w:rPr>
        <w:t>UNEP/FAO/RC/COP.8/13/Add.1</w:t>
      </w:r>
      <w:r w:rsidRPr="002D392D">
        <w:rPr>
          <w:rFonts w:ascii="Traditional Arabic" w:hAnsi="Traditional Arabic" w:cs="Traditional Arabic"/>
          <w:sz w:val="26"/>
          <w:szCs w:val="26"/>
          <w:rtl/>
        </w:rPr>
        <w:t>، المرفق</w:t>
      </w:r>
      <w:r w:rsidRPr="002D392D">
        <w:rPr>
          <w:rFonts w:ascii="Traditional Arabic" w:hAnsi="Traditional Arabic" w:cs="Traditional Arabic" w:hint="cs"/>
          <w:sz w:val="26"/>
          <w:szCs w:val="26"/>
          <w:rtl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7CD"/>
    <w:rsid w:val="001527CD"/>
    <w:rsid w:val="00B05B5D"/>
    <w:rsid w:val="00CD6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7CD"/>
    <w:pPr>
      <w:bidi/>
      <w:spacing w:after="0" w:line="240" w:lineRule="auto"/>
    </w:pPr>
    <w:rPr>
      <w:rFonts w:ascii="Times" w:eastAsia="Times New Roman" w:hAnsi="Times" w:cs="Simplified Arabic"/>
      <w:noProof/>
      <w:sz w:val="2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DNV-FT,Geneva 9,Font: Geneva 9,Boston 10,f,Car,-E Fußnotentext,ft,Fußnote,Fußnotentext Ursprung,fn,footnote text,Footnotes,Footnote ak,fn cafc,Footnotes Char Char,Footnote Text Char Char,fn Char Char,footnote text Char Char Char Ch,93,Char"/>
    <w:basedOn w:val="Normal"/>
    <w:link w:val="FootnoteTextChar"/>
    <w:rsid w:val="001527CD"/>
    <w:rPr>
      <w:szCs w:val="20"/>
    </w:rPr>
  </w:style>
  <w:style w:type="character" w:customStyle="1" w:styleId="FootnoteTextChar">
    <w:name w:val="Footnote Text Char"/>
    <w:aliases w:val="DNV-FT Char,Geneva 9 Char,Font: Geneva 9 Char,Boston 10 Char,f Char,Car Char,-E Fußnotentext Char,ft Char,Fußnote Char,Fußnotentext Ursprung Char,fn Char,footnote text Char,Footnotes Char,Footnote ak Char,fn cafc Char,93 Char"/>
    <w:basedOn w:val="DefaultParagraphFont"/>
    <w:link w:val="FootnoteText"/>
    <w:rsid w:val="001527CD"/>
    <w:rPr>
      <w:rFonts w:ascii="Times" w:eastAsia="Times New Roman" w:hAnsi="Times" w:cs="Simplified Arabic"/>
      <w:noProof/>
      <w:sz w:val="20"/>
      <w:szCs w:val="20"/>
    </w:rPr>
  </w:style>
  <w:style w:type="character" w:styleId="FootnoteReference">
    <w:name w:val="footnote reference"/>
    <w:aliases w:val="16 Point,Superscript 6 Point,ftref,(Ref. de nota al pie),number,SUPERS,Footnote Reference Superscript,Ref,de nota al pie,註腳內容,de nota al pie + (Asian) MS Mincho,11 pt,Ref. de nota de rodapé1,Footnote Reference1"/>
    <w:rsid w:val="001527CD"/>
    <w:rPr>
      <w:vertAlign w:val="superscript"/>
    </w:rPr>
  </w:style>
  <w:style w:type="table" w:styleId="TableGrid">
    <w:name w:val="Table Grid"/>
    <w:basedOn w:val="TableNormal"/>
    <w:rsid w:val="001527CD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27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1111</Characters>
  <Application>Microsoft Office Word</Application>
  <DocSecurity>0</DocSecurity>
  <Lines>9</Lines>
  <Paragraphs>2</Paragraphs>
  <ScaleCrop>false</ScaleCrop>
  <Company>BRS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2018-01-29T14:47:00Z</dcterms:created>
  <dcterms:modified xsi:type="dcterms:W3CDTF">2018-01-29T14:47:00Z</dcterms:modified>
</cp:coreProperties>
</file>