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E42" w:rsidRPr="001D2FBD" w:rsidRDefault="00D80E42" w:rsidP="00D80E42">
      <w:pPr>
        <w:pStyle w:val="Normal-pool"/>
        <w:tabs>
          <w:tab w:val="clear" w:pos="1247"/>
          <w:tab w:val="clear" w:pos="1814"/>
          <w:tab w:val="clear" w:pos="2381"/>
          <w:tab w:val="clear" w:pos="2948"/>
          <w:tab w:val="clear" w:pos="3515"/>
          <w:tab w:val="left" w:pos="624"/>
        </w:tabs>
        <w:spacing w:after="120"/>
        <w:ind w:left="1276"/>
        <w:rPr>
          <w:b/>
          <w:sz w:val="28"/>
          <w:szCs w:val="28"/>
          <w:lang w:val="es-ES"/>
        </w:rPr>
      </w:pPr>
      <w:r w:rsidRPr="001D2FBD">
        <w:rPr>
          <w:b/>
          <w:sz w:val="28"/>
          <w:szCs w:val="28"/>
          <w:lang w:val="es-ES"/>
        </w:rPr>
        <w:t>RC</w:t>
      </w:r>
      <w:r w:rsidRPr="001D2FBD">
        <w:rPr>
          <w:b/>
          <w:sz w:val="28"/>
          <w:szCs w:val="28"/>
          <w:lang w:val="es-ES"/>
        </w:rPr>
        <w:noBreakHyphen/>
        <w:t xml:space="preserve">8/5: Inclusión de los compuestos de </w:t>
      </w:r>
      <w:proofErr w:type="spellStart"/>
      <w:r w:rsidRPr="001D2FBD">
        <w:rPr>
          <w:b/>
          <w:sz w:val="28"/>
          <w:szCs w:val="28"/>
          <w:lang w:val="es-ES"/>
        </w:rPr>
        <w:t>tributilo</w:t>
      </w:r>
      <w:proofErr w:type="spellEnd"/>
      <w:r w:rsidRPr="001D2FBD">
        <w:rPr>
          <w:b/>
          <w:sz w:val="28"/>
          <w:szCs w:val="28"/>
          <w:lang w:val="es-ES"/>
        </w:rPr>
        <w:t xml:space="preserve"> de estaño en el anexo III del Convenio de Rotterdam</w:t>
      </w:r>
    </w:p>
    <w:p w:rsidR="00D80E42" w:rsidRPr="001D2FBD" w:rsidRDefault="00D80E42" w:rsidP="00D80E42">
      <w:pPr>
        <w:spacing w:after="120"/>
        <w:ind w:left="1247" w:firstLine="624"/>
        <w:rPr>
          <w:i/>
          <w:sz w:val="20"/>
          <w:lang w:val="es-ES"/>
        </w:rPr>
      </w:pPr>
      <w:r w:rsidRPr="001D2FBD">
        <w:rPr>
          <w:i/>
          <w:iCs/>
          <w:sz w:val="20"/>
          <w:lang w:val="es-ES"/>
        </w:rPr>
        <w:t>La Conferencia de las Partes,</w:t>
      </w:r>
    </w:p>
    <w:p w:rsidR="00D80E42" w:rsidRPr="001D2FBD" w:rsidRDefault="00D80E42" w:rsidP="00D80E42">
      <w:pPr>
        <w:spacing w:after="120"/>
        <w:ind w:left="1247" w:firstLine="624"/>
        <w:rPr>
          <w:i/>
          <w:sz w:val="20"/>
          <w:lang w:val="es-ES"/>
        </w:rPr>
      </w:pPr>
      <w:r>
        <w:rPr>
          <w:i/>
          <w:sz w:val="20"/>
          <w:lang w:val="es-ES"/>
        </w:rPr>
        <w:t>Observando</w:t>
      </w:r>
      <w:r w:rsidRPr="001D2FBD">
        <w:rPr>
          <w:i/>
          <w:iCs/>
          <w:sz w:val="20"/>
          <w:lang w:val="es-ES"/>
        </w:rPr>
        <w:t xml:space="preserve"> con </w:t>
      </w:r>
      <w:r>
        <w:rPr>
          <w:i/>
          <w:sz w:val="20"/>
          <w:lang w:val="es-ES"/>
        </w:rPr>
        <w:t>aprecio</w:t>
      </w:r>
      <w:r w:rsidRPr="001D2FBD">
        <w:rPr>
          <w:sz w:val="20"/>
          <w:lang w:val="es-ES"/>
        </w:rPr>
        <w:t xml:space="preserve"> la labor realizada por el Comité de Examen de Productos Químicos,</w:t>
      </w:r>
    </w:p>
    <w:p w:rsidR="00D80E42" w:rsidRPr="001D2FBD" w:rsidRDefault="00D80E42" w:rsidP="00D80E42">
      <w:pPr>
        <w:spacing w:after="120"/>
        <w:ind w:left="1247" w:firstLine="624"/>
        <w:rPr>
          <w:sz w:val="20"/>
          <w:lang w:val="es-ES"/>
        </w:rPr>
      </w:pPr>
      <w:r w:rsidRPr="001D2FBD">
        <w:rPr>
          <w:i/>
          <w:iCs/>
          <w:sz w:val="20"/>
          <w:lang w:val="es-ES"/>
        </w:rPr>
        <w:t>Habiendo examinado</w:t>
      </w:r>
      <w:r w:rsidRPr="001D2FBD">
        <w:rPr>
          <w:sz w:val="20"/>
          <w:lang w:val="es-ES"/>
        </w:rPr>
        <w:t xml:space="preserve"> la recomendación del Comité de Examen de Productos Químicos de someter los compuestos de </w:t>
      </w:r>
      <w:proofErr w:type="spellStart"/>
      <w:r w:rsidRPr="001D2FBD">
        <w:rPr>
          <w:sz w:val="20"/>
          <w:lang w:val="es-ES"/>
        </w:rPr>
        <w:t>tributilo</w:t>
      </w:r>
      <w:proofErr w:type="spellEnd"/>
      <w:r w:rsidRPr="001D2FBD">
        <w:rPr>
          <w:sz w:val="20"/>
          <w:lang w:val="es-ES"/>
        </w:rPr>
        <w:t xml:space="preserve"> de estaño al procedimiento de consentimiento fundamentado previo y, en consecuencia, incluir esos productos químicos en la lista del anexo III del Convenio de Rotterdam sobre el Procedimiento de Consentimiento Fundamentado Previo Aplicable a Ciertos Plaguicidas y Productos Químicos Peligrosos Objeto de Comercio Internacional como productos químicos industriales, </w:t>
      </w:r>
    </w:p>
    <w:p w:rsidR="00D80E42" w:rsidRPr="001D2FBD" w:rsidRDefault="00D80E42" w:rsidP="00D80E42">
      <w:pPr>
        <w:spacing w:after="120"/>
        <w:ind w:left="1247" w:firstLine="624"/>
        <w:rPr>
          <w:sz w:val="20"/>
          <w:lang w:val="es-ES"/>
        </w:rPr>
      </w:pPr>
      <w:r w:rsidRPr="001D2FBD">
        <w:rPr>
          <w:i/>
          <w:iCs/>
          <w:sz w:val="20"/>
          <w:lang w:val="es-ES"/>
        </w:rPr>
        <w:t>Convencida</w:t>
      </w:r>
      <w:r w:rsidRPr="001D2FBD">
        <w:rPr>
          <w:sz w:val="20"/>
          <w:lang w:val="es-ES"/>
        </w:rPr>
        <w:t xml:space="preserve"> de que se han satisfecho todos los requisitos para la inclusión en el anexo III del Convenio de Rotterdam,</w:t>
      </w:r>
    </w:p>
    <w:p w:rsidR="00D80E42" w:rsidRPr="001D2FBD" w:rsidRDefault="00D80E42" w:rsidP="00D80E42">
      <w:pPr>
        <w:spacing w:after="120"/>
        <w:ind w:left="1247" w:firstLine="624"/>
        <w:rPr>
          <w:snapToGrid w:val="0"/>
          <w:sz w:val="20"/>
          <w:lang w:val="es-ES"/>
        </w:rPr>
      </w:pPr>
      <w:r w:rsidRPr="001D2FBD">
        <w:rPr>
          <w:sz w:val="20"/>
          <w:lang w:val="es-ES"/>
        </w:rPr>
        <w:t>1.</w:t>
      </w:r>
      <w:r w:rsidRPr="001D2FBD">
        <w:rPr>
          <w:sz w:val="20"/>
          <w:lang w:val="es-ES"/>
        </w:rPr>
        <w:tab/>
      </w:r>
      <w:r w:rsidRPr="001D2FBD">
        <w:rPr>
          <w:i/>
          <w:iCs/>
          <w:sz w:val="20"/>
          <w:lang w:val="es-ES"/>
        </w:rPr>
        <w:t>Decide</w:t>
      </w:r>
      <w:r w:rsidRPr="001D2FBD">
        <w:rPr>
          <w:sz w:val="20"/>
          <w:lang w:val="es-ES"/>
        </w:rPr>
        <w:t xml:space="preserve"> enmendar el anexo III del Convenio de Rotterdam </w:t>
      </w:r>
      <w:r w:rsidRPr="00D73666">
        <w:rPr>
          <w:sz w:val="20"/>
          <w:lang w:val="es-ES"/>
        </w:rPr>
        <w:t xml:space="preserve">con el fin de </w:t>
      </w:r>
      <w:r w:rsidRPr="001D2FBD">
        <w:rPr>
          <w:sz w:val="20"/>
          <w:lang w:val="es-ES"/>
        </w:rPr>
        <w:t>incluir los productos químicos siguientes:</w:t>
      </w:r>
    </w:p>
    <w:tbl>
      <w:tblPr>
        <w:tblW w:w="7743" w:type="dxa"/>
        <w:tblInd w:w="1317" w:type="dxa"/>
        <w:tblBorders>
          <w:top w:val="single" w:sz="4" w:space="0" w:color="auto"/>
          <w:bottom w:val="single" w:sz="4" w:space="0" w:color="auto"/>
          <w:insideH w:val="single" w:sz="4" w:space="0" w:color="auto"/>
        </w:tblBorders>
        <w:tblLayout w:type="fixed"/>
        <w:tblLook w:val="01E0" w:firstRow="1" w:lastRow="1" w:firstColumn="1" w:lastColumn="1" w:noHBand="0" w:noVBand="0"/>
      </w:tblPr>
      <w:tblGrid>
        <w:gridCol w:w="3402"/>
        <w:gridCol w:w="2410"/>
        <w:gridCol w:w="1931"/>
      </w:tblGrid>
      <w:tr w:rsidR="00D80E42" w:rsidRPr="001D2FBD" w:rsidTr="008E5192">
        <w:tc>
          <w:tcPr>
            <w:tcW w:w="3402" w:type="dxa"/>
          </w:tcPr>
          <w:p w:rsidR="00D80E42" w:rsidRPr="001D2FBD" w:rsidRDefault="00D80E42" w:rsidP="008E5192">
            <w:pPr>
              <w:keepNext/>
              <w:spacing w:after="120"/>
              <w:outlineLvl w:val="3"/>
              <w:rPr>
                <w:b/>
                <w:snapToGrid w:val="0"/>
                <w:sz w:val="20"/>
              </w:rPr>
            </w:pPr>
            <w:r w:rsidRPr="001D2FBD">
              <w:rPr>
                <w:b/>
                <w:bCs/>
                <w:sz w:val="20"/>
                <w:lang w:val="es-ES"/>
              </w:rPr>
              <w:t>Producto químico</w:t>
            </w:r>
          </w:p>
        </w:tc>
        <w:tc>
          <w:tcPr>
            <w:tcW w:w="2410" w:type="dxa"/>
          </w:tcPr>
          <w:p w:rsidR="00D80E42" w:rsidRPr="001D2FBD" w:rsidRDefault="00D80E42" w:rsidP="008E5192">
            <w:pPr>
              <w:spacing w:after="120"/>
              <w:rPr>
                <w:b/>
                <w:bCs/>
                <w:sz w:val="20"/>
                <w:lang w:val="es-ES"/>
              </w:rPr>
            </w:pPr>
            <w:r w:rsidRPr="001D2FBD">
              <w:rPr>
                <w:b/>
                <w:bCs/>
                <w:sz w:val="20"/>
                <w:lang w:val="es-ES"/>
              </w:rPr>
              <w:t>Número</w:t>
            </w:r>
            <w:r>
              <w:rPr>
                <w:b/>
                <w:sz w:val="20"/>
                <w:lang w:val="es-ES"/>
              </w:rPr>
              <w:t xml:space="preserve"> o números </w:t>
            </w:r>
            <w:r w:rsidRPr="001D2FBD">
              <w:rPr>
                <w:b/>
                <w:bCs/>
                <w:sz w:val="20"/>
                <w:lang w:val="es-ES"/>
              </w:rPr>
              <w:t>CAS</w:t>
            </w:r>
          </w:p>
        </w:tc>
        <w:tc>
          <w:tcPr>
            <w:tcW w:w="1931" w:type="dxa"/>
          </w:tcPr>
          <w:p w:rsidR="00D80E42" w:rsidRPr="001D2FBD" w:rsidRDefault="00D80E42" w:rsidP="008E5192">
            <w:pPr>
              <w:spacing w:after="120"/>
              <w:rPr>
                <w:b/>
                <w:bCs/>
                <w:sz w:val="20"/>
              </w:rPr>
            </w:pPr>
            <w:r w:rsidRPr="001D2FBD">
              <w:rPr>
                <w:b/>
                <w:bCs/>
                <w:sz w:val="20"/>
                <w:lang w:val="es-ES"/>
              </w:rPr>
              <w:t>Categoría</w:t>
            </w:r>
          </w:p>
        </w:tc>
      </w:tr>
      <w:tr w:rsidR="00D80E42" w:rsidRPr="001D2FBD" w:rsidTr="008E5192">
        <w:trPr>
          <w:trHeight w:val="157"/>
        </w:trPr>
        <w:tc>
          <w:tcPr>
            <w:tcW w:w="3402" w:type="dxa"/>
          </w:tcPr>
          <w:p w:rsidR="00D80E42" w:rsidRPr="001D2FBD" w:rsidRDefault="00D80E42" w:rsidP="008E5192">
            <w:pPr>
              <w:tabs>
                <w:tab w:val="left" w:pos="624"/>
              </w:tabs>
              <w:autoSpaceDE w:val="0"/>
              <w:autoSpaceDN w:val="0"/>
              <w:adjustRightInd w:val="0"/>
              <w:spacing w:before="60" w:after="40"/>
              <w:rPr>
                <w:rFonts w:eastAsia="MS Mincho"/>
                <w:color w:val="000000"/>
                <w:sz w:val="20"/>
                <w:lang w:val="es-ES"/>
              </w:rPr>
            </w:pPr>
            <w:r w:rsidRPr="001D2FBD">
              <w:rPr>
                <w:sz w:val="20"/>
                <w:lang w:val="es-ES"/>
              </w:rPr>
              <w:t xml:space="preserve">Todos los compuestos del </w:t>
            </w:r>
            <w:proofErr w:type="spellStart"/>
            <w:r w:rsidRPr="001D2FBD">
              <w:rPr>
                <w:sz w:val="20"/>
                <w:lang w:val="es-ES"/>
              </w:rPr>
              <w:t>tributilo</w:t>
            </w:r>
            <w:proofErr w:type="spellEnd"/>
            <w:r w:rsidRPr="001D2FBD">
              <w:rPr>
                <w:sz w:val="20"/>
                <w:lang w:val="es-ES"/>
              </w:rPr>
              <w:t xml:space="preserve"> de estaño, a saber: </w:t>
            </w:r>
          </w:p>
        </w:tc>
        <w:tc>
          <w:tcPr>
            <w:tcW w:w="2410" w:type="dxa"/>
          </w:tcPr>
          <w:p w:rsidR="00D80E42" w:rsidRPr="001D2FBD" w:rsidRDefault="00D80E42" w:rsidP="008E5192">
            <w:pPr>
              <w:tabs>
                <w:tab w:val="left" w:pos="578"/>
                <w:tab w:val="left" w:pos="624"/>
                <w:tab w:val="num" w:pos="938"/>
                <w:tab w:val="left" w:pos="1157"/>
              </w:tabs>
              <w:suppressAutoHyphens/>
              <w:autoSpaceDE w:val="0"/>
              <w:autoSpaceDN w:val="0"/>
              <w:adjustRightInd w:val="0"/>
              <w:spacing w:before="60" w:after="40"/>
              <w:ind w:firstLine="578"/>
              <w:rPr>
                <w:color w:val="000000"/>
                <w:sz w:val="20"/>
                <w:lang w:val="es-ES"/>
              </w:rPr>
            </w:pPr>
          </w:p>
        </w:tc>
        <w:tc>
          <w:tcPr>
            <w:tcW w:w="1931" w:type="dxa"/>
          </w:tcPr>
          <w:p w:rsidR="00D80E42" w:rsidRPr="001D2FBD" w:rsidRDefault="00D80E42" w:rsidP="008E5192">
            <w:pPr>
              <w:spacing w:before="60" w:after="60"/>
              <w:rPr>
                <w:bCs/>
                <w:sz w:val="20"/>
              </w:rPr>
            </w:pPr>
            <w:r w:rsidRPr="001D2FBD">
              <w:rPr>
                <w:sz w:val="20"/>
                <w:lang w:val="es-ES"/>
              </w:rPr>
              <w:t>Industrial</w:t>
            </w:r>
          </w:p>
        </w:tc>
      </w:tr>
      <w:tr w:rsidR="00D80E42" w:rsidRPr="001D2FBD" w:rsidTr="008E5192">
        <w:tc>
          <w:tcPr>
            <w:tcW w:w="3402" w:type="dxa"/>
          </w:tcPr>
          <w:p w:rsidR="00D80E42" w:rsidRPr="001D2FBD" w:rsidRDefault="00D80E42" w:rsidP="008E5192">
            <w:pPr>
              <w:tabs>
                <w:tab w:val="left" w:pos="624"/>
              </w:tabs>
              <w:autoSpaceDE w:val="0"/>
              <w:autoSpaceDN w:val="0"/>
              <w:adjustRightInd w:val="0"/>
              <w:spacing w:after="40"/>
              <w:rPr>
                <w:sz w:val="20"/>
                <w:lang w:val="es-ES"/>
              </w:rPr>
            </w:pPr>
            <w:r w:rsidRPr="001D2FBD">
              <w:rPr>
                <w:sz w:val="20"/>
                <w:lang w:val="es-ES"/>
              </w:rPr>
              <w:noBreakHyphen/>
              <w:t xml:space="preserve"> Óxido de </w:t>
            </w:r>
            <w:proofErr w:type="spellStart"/>
            <w:r w:rsidRPr="001D2FBD">
              <w:rPr>
                <w:sz w:val="20"/>
                <w:lang w:val="es-ES"/>
              </w:rPr>
              <w:t>tributilo</w:t>
            </w:r>
            <w:proofErr w:type="spellEnd"/>
            <w:r w:rsidRPr="001D2FBD">
              <w:rPr>
                <w:sz w:val="20"/>
                <w:lang w:val="es-ES"/>
              </w:rPr>
              <w:t xml:space="preserve"> de estaño</w:t>
            </w:r>
          </w:p>
          <w:p w:rsidR="00D80E42" w:rsidRPr="001D2FBD" w:rsidRDefault="00D80E42" w:rsidP="008E5192">
            <w:pPr>
              <w:tabs>
                <w:tab w:val="left" w:pos="624"/>
              </w:tabs>
              <w:autoSpaceDE w:val="0"/>
              <w:autoSpaceDN w:val="0"/>
              <w:adjustRightInd w:val="0"/>
              <w:spacing w:after="40"/>
              <w:rPr>
                <w:sz w:val="20"/>
                <w:lang w:val="es-ES"/>
              </w:rPr>
            </w:pPr>
            <w:r w:rsidRPr="001D2FBD">
              <w:rPr>
                <w:sz w:val="20"/>
                <w:lang w:val="es-ES"/>
              </w:rPr>
              <w:noBreakHyphen/>
              <w:t xml:space="preserve"> Fluoruro de </w:t>
            </w:r>
            <w:proofErr w:type="spellStart"/>
            <w:r w:rsidRPr="001D2FBD">
              <w:rPr>
                <w:sz w:val="20"/>
                <w:lang w:val="es-ES"/>
              </w:rPr>
              <w:t>tributilo</w:t>
            </w:r>
            <w:proofErr w:type="spellEnd"/>
            <w:r w:rsidRPr="001D2FBD">
              <w:rPr>
                <w:sz w:val="20"/>
                <w:lang w:val="es-ES"/>
              </w:rPr>
              <w:t xml:space="preserve"> de estaño</w:t>
            </w:r>
          </w:p>
          <w:p w:rsidR="00D80E42" w:rsidRPr="001D2FBD" w:rsidRDefault="00D80E42" w:rsidP="008E5192">
            <w:pPr>
              <w:tabs>
                <w:tab w:val="left" w:pos="624"/>
              </w:tabs>
              <w:autoSpaceDE w:val="0"/>
              <w:autoSpaceDN w:val="0"/>
              <w:adjustRightInd w:val="0"/>
              <w:spacing w:after="40"/>
              <w:rPr>
                <w:sz w:val="20"/>
                <w:lang w:val="es-ES"/>
              </w:rPr>
            </w:pPr>
            <w:r w:rsidRPr="001D2FBD">
              <w:rPr>
                <w:sz w:val="20"/>
                <w:lang w:val="es-ES"/>
              </w:rPr>
              <w:noBreakHyphen/>
              <w:t xml:space="preserve"> Metacrilato de </w:t>
            </w:r>
            <w:proofErr w:type="spellStart"/>
            <w:r w:rsidRPr="001D2FBD">
              <w:rPr>
                <w:sz w:val="20"/>
                <w:lang w:val="es-ES"/>
              </w:rPr>
              <w:t>tributilo</w:t>
            </w:r>
            <w:proofErr w:type="spellEnd"/>
            <w:r w:rsidRPr="001D2FBD">
              <w:rPr>
                <w:sz w:val="20"/>
                <w:lang w:val="es-ES"/>
              </w:rPr>
              <w:t xml:space="preserve"> de estaño</w:t>
            </w:r>
          </w:p>
          <w:p w:rsidR="00D80E42" w:rsidRPr="001D2FBD" w:rsidRDefault="00D80E42" w:rsidP="008E5192">
            <w:pPr>
              <w:tabs>
                <w:tab w:val="left" w:pos="624"/>
              </w:tabs>
              <w:autoSpaceDE w:val="0"/>
              <w:autoSpaceDN w:val="0"/>
              <w:adjustRightInd w:val="0"/>
              <w:spacing w:after="40"/>
              <w:rPr>
                <w:sz w:val="20"/>
                <w:lang w:val="es-ES"/>
              </w:rPr>
            </w:pPr>
            <w:r w:rsidRPr="001D2FBD">
              <w:rPr>
                <w:sz w:val="20"/>
                <w:lang w:val="es-ES"/>
              </w:rPr>
              <w:noBreakHyphen/>
              <w:t xml:space="preserve"> Benzoato de </w:t>
            </w:r>
            <w:proofErr w:type="spellStart"/>
            <w:r w:rsidRPr="001D2FBD">
              <w:rPr>
                <w:sz w:val="20"/>
                <w:lang w:val="es-ES"/>
              </w:rPr>
              <w:t>tributilo</w:t>
            </w:r>
            <w:proofErr w:type="spellEnd"/>
            <w:r w:rsidRPr="001D2FBD">
              <w:rPr>
                <w:sz w:val="20"/>
                <w:lang w:val="es-ES"/>
              </w:rPr>
              <w:t xml:space="preserve"> de estaño</w:t>
            </w:r>
          </w:p>
          <w:p w:rsidR="00D80E42" w:rsidRPr="001D2FBD" w:rsidRDefault="00D80E42" w:rsidP="008E5192">
            <w:pPr>
              <w:tabs>
                <w:tab w:val="left" w:pos="624"/>
              </w:tabs>
              <w:autoSpaceDE w:val="0"/>
              <w:autoSpaceDN w:val="0"/>
              <w:adjustRightInd w:val="0"/>
              <w:spacing w:after="40"/>
              <w:rPr>
                <w:sz w:val="20"/>
                <w:lang w:val="es-ES"/>
              </w:rPr>
            </w:pPr>
            <w:r w:rsidRPr="001D2FBD">
              <w:rPr>
                <w:sz w:val="20"/>
                <w:lang w:val="es-ES"/>
              </w:rPr>
              <w:noBreakHyphen/>
              <w:t xml:space="preserve"> Cloruro de </w:t>
            </w:r>
            <w:proofErr w:type="spellStart"/>
            <w:r w:rsidRPr="001D2FBD">
              <w:rPr>
                <w:sz w:val="20"/>
                <w:lang w:val="es-ES"/>
              </w:rPr>
              <w:t>tributilo</w:t>
            </w:r>
            <w:proofErr w:type="spellEnd"/>
            <w:r w:rsidRPr="001D2FBD">
              <w:rPr>
                <w:sz w:val="20"/>
                <w:lang w:val="es-ES"/>
              </w:rPr>
              <w:t xml:space="preserve"> de estaño</w:t>
            </w:r>
          </w:p>
          <w:p w:rsidR="00D80E42" w:rsidRPr="001D2FBD" w:rsidRDefault="00D80E42" w:rsidP="008E5192">
            <w:pPr>
              <w:tabs>
                <w:tab w:val="left" w:pos="624"/>
              </w:tabs>
              <w:autoSpaceDE w:val="0"/>
              <w:autoSpaceDN w:val="0"/>
              <w:adjustRightInd w:val="0"/>
              <w:spacing w:after="40"/>
              <w:rPr>
                <w:sz w:val="20"/>
                <w:lang w:val="es-ES"/>
              </w:rPr>
            </w:pPr>
            <w:r w:rsidRPr="001D2FBD">
              <w:rPr>
                <w:sz w:val="20"/>
                <w:lang w:val="es-ES"/>
              </w:rPr>
              <w:noBreakHyphen/>
              <w:t xml:space="preserve"> </w:t>
            </w:r>
            <w:proofErr w:type="spellStart"/>
            <w:r w:rsidRPr="001D2FBD">
              <w:rPr>
                <w:sz w:val="20"/>
                <w:lang w:val="es-ES"/>
              </w:rPr>
              <w:t>Linoleato</w:t>
            </w:r>
            <w:proofErr w:type="spellEnd"/>
            <w:r w:rsidRPr="001D2FBD">
              <w:rPr>
                <w:sz w:val="20"/>
                <w:lang w:val="es-ES"/>
              </w:rPr>
              <w:t xml:space="preserve"> de </w:t>
            </w:r>
            <w:proofErr w:type="spellStart"/>
            <w:r w:rsidRPr="001D2FBD">
              <w:rPr>
                <w:sz w:val="20"/>
                <w:lang w:val="es-ES"/>
              </w:rPr>
              <w:t>tributilo</w:t>
            </w:r>
            <w:proofErr w:type="spellEnd"/>
            <w:r w:rsidRPr="001D2FBD">
              <w:rPr>
                <w:sz w:val="20"/>
                <w:lang w:val="es-ES"/>
              </w:rPr>
              <w:t xml:space="preserve"> de estaño</w:t>
            </w:r>
          </w:p>
          <w:p w:rsidR="00D80E42" w:rsidRPr="001D2FBD" w:rsidRDefault="00D80E42" w:rsidP="008E5192">
            <w:pPr>
              <w:spacing w:after="40"/>
              <w:rPr>
                <w:snapToGrid w:val="0"/>
                <w:sz w:val="20"/>
                <w:lang w:val="es-ES"/>
              </w:rPr>
            </w:pPr>
            <w:r w:rsidRPr="001D2FBD">
              <w:rPr>
                <w:sz w:val="20"/>
                <w:lang w:val="es-ES"/>
              </w:rPr>
              <w:noBreakHyphen/>
              <w:t xml:space="preserve"> </w:t>
            </w:r>
            <w:proofErr w:type="spellStart"/>
            <w:r w:rsidRPr="001D2FBD">
              <w:rPr>
                <w:sz w:val="20"/>
                <w:lang w:val="es-ES"/>
              </w:rPr>
              <w:t>Naftenato</w:t>
            </w:r>
            <w:proofErr w:type="spellEnd"/>
            <w:r w:rsidRPr="001D2FBD">
              <w:rPr>
                <w:sz w:val="20"/>
                <w:lang w:val="es-ES"/>
              </w:rPr>
              <w:t xml:space="preserve"> de </w:t>
            </w:r>
            <w:proofErr w:type="spellStart"/>
            <w:r w:rsidRPr="001D2FBD">
              <w:rPr>
                <w:sz w:val="20"/>
                <w:lang w:val="es-ES"/>
              </w:rPr>
              <w:t>tributilo</w:t>
            </w:r>
            <w:proofErr w:type="spellEnd"/>
            <w:r w:rsidRPr="001D2FBD">
              <w:rPr>
                <w:sz w:val="20"/>
                <w:lang w:val="es-ES"/>
              </w:rPr>
              <w:t xml:space="preserve"> de estaño</w:t>
            </w:r>
          </w:p>
        </w:tc>
        <w:tc>
          <w:tcPr>
            <w:tcW w:w="2410" w:type="dxa"/>
          </w:tcPr>
          <w:p w:rsidR="00D80E42" w:rsidRPr="001D2FBD" w:rsidRDefault="00D80E42" w:rsidP="008E5192">
            <w:pPr>
              <w:tabs>
                <w:tab w:val="left" w:pos="3015"/>
              </w:tabs>
              <w:spacing w:after="40"/>
              <w:jc w:val="center"/>
              <w:rPr>
                <w:color w:val="000000"/>
                <w:sz w:val="20"/>
              </w:rPr>
            </w:pPr>
            <w:r w:rsidRPr="001D2FBD">
              <w:rPr>
                <w:sz w:val="20"/>
                <w:lang w:val="es-ES"/>
              </w:rPr>
              <w:t>56</w:t>
            </w:r>
            <w:r w:rsidRPr="001D2FBD">
              <w:rPr>
                <w:sz w:val="20"/>
                <w:lang w:val="es-ES"/>
              </w:rPr>
              <w:noBreakHyphen/>
              <w:t>35</w:t>
            </w:r>
            <w:r w:rsidRPr="001D2FBD">
              <w:rPr>
                <w:sz w:val="20"/>
                <w:lang w:val="es-ES"/>
              </w:rPr>
              <w:noBreakHyphen/>
              <w:t>9</w:t>
            </w:r>
          </w:p>
          <w:p w:rsidR="00D80E42" w:rsidRPr="001D2FBD" w:rsidRDefault="00D80E42" w:rsidP="008E5192">
            <w:pPr>
              <w:spacing w:after="40"/>
              <w:jc w:val="center"/>
              <w:rPr>
                <w:color w:val="000000"/>
                <w:sz w:val="20"/>
              </w:rPr>
            </w:pPr>
            <w:r w:rsidRPr="001D2FBD">
              <w:rPr>
                <w:sz w:val="20"/>
                <w:lang w:val="es-ES"/>
              </w:rPr>
              <w:t>1983</w:t>
            </w:r>
            <w:r w:rsidRPr="001D2FBD">
              <w:rPr>
                <w:sz w:val="20"/>
                <w:lang w:val="es-ES"/>
              </w:rPr>
              <w:noBreakHyphen/>
              <w:t>10</w:t>
            </w:r>
            <w:r w:rsidRPr="001D2FBD">
              <w:rPr>
                <w:sz w:val="20"/>
                <w:lang w:val="es-ES"/>
              </w:rPr>
              <w:noBreakHyphen/>
              <w:t>4</w:t>
            </w:r>
          </w:p>
          <w:p w:rsidR="00D80E42" w:rsidRPr="001D2FBD" w:rsidRDefault="00D80E42" w:rsidP="008E5192">
            <w:pPr>
              <w:spacing w:after="40"/>
              <w:jc w:val="center"/>
              <w:rPr>
                <w:color w:val="000000"/>
                <w:sz w:val="20"/>
              </w:rPr>
            </w:pPr>
            <w:r w:rsidRPr="001D2FBD">
              <w:rPr>
                <w:sz w:val="20"/>
                <w:lang w:val="es-ES"/>
              </w:rPr>
              <w:t>2155</w:t>
            </w:r>
            <w:r w:rsidRPr="001D2FBD">
              <w:rPr>
                <w:sz w:val="20"/>
                <w:lang w:val="es-ES"/>
              </w:rPr>
              <w:noBreakHyphen/>
              <w:t>70</w:t>
            </w:r>
            <w:r w:rsidRPr="001D2FBD">
              <w:rPr>
                <w:sz w:val="20"/>
                <w:lang w:val="es-ES"/>
              </w:rPr>
              <w:noBreakHyphen/>
              <w:t>6</w:t>
            </w:r>
          </w:p>
          <w:p w:rsidR="00D80E42" w:rsidRPr="001D2FBD" w:rsidRDefault="00D80E42" w:rsidP="008E5192">
            <w:pPr>
              <w:pStyle w:val="ca"/>
              <w:spacing w:before="0" w:after="40"/>
              <w:jc w:val="center"/>
            </w:pPr>
            <w:r w:rsidRPr="001D2FBD">
              <w:rPr>
                <w:lang w:val="es-ES"/>
              </w:rPr>
              <w:t>4342</w:t>
            </w:r>
            <w:r w:rsidRPr="001D2FBD">
              <w:rPr>
                <w:lang w:val="es-ES"/>
              </w:rPr>
              <w:noBreakHyphen/>
              <w:t>36</w:t>
            </w:r>
            <w:r w:rsidRPr="001D2FBD">
              <w:rPr>
                <w:lang w:val="es-ES"/>
              </w:rPr>
              <w:noBreakHyphen/>
              <w:t>3</w:t>
            </w:r>
          </w:p>
          <w:p w:rsidR="00D80E42" w:rsidRPr="001D2FBD" w:rsidRDefault="00D80E42" w:rsidP="008E5192">
            <w:pPr>
              <w:pStyle w:val="ca"/>
              <w:spacing w:before="0" w:after="40"/>
              <w:jc w:val="center"/>
              <w:rPr>
                <w:spacing w:val="-2"/>
              </w:rPr>
            </w:pPr>
            <w:r w:rsidRPr="001D2FBD">
              <w:rPr>
                <w:lang w:val="es-ES"/>
              </w:rPr>
              <w:t>1461</w:t>
            </w:r>
            <w:r w:rsidRPr="001D2FBD">
              <w:rPr>
                <w:lang w:val="es-ES"/>
              </w:rPr>
              <w:noBreakHyphen/>
              <w:t>22</w:t>
            </w:r>
            <w:r w:rsidRPr="001D2FBD">
              <w:rPr>
                <w:lang w:val="es-ES"/>
              </w:rPr>
              <w:noBreakHyphen/>
              <w:t>9</w:t>
            </w:r>
          </w:p>
          <w:p w:rsidR="00D80E42" w:rsidRPr="001D2FBD" w:rsidRDefault="00D80E42" w:rsidP="008E5192">
            <w:pPr>
              <w:spacing w:after="40"/>
              <w:jc w:val="center"/>
              <w:rPr>
                <w:color w:val="000000"/>
                <w:spacing w:val="-2"/>
                <w:sz w:val="20"/>
              </w:rPr>
            </w:pPr>
            <w:r w:rsidRPr="001D2FBD">
              <w:rPr>
                <w:sz w:val="20"/>
                <w:lang w:val="es-ES"/>
              </w:rPr>
              <w:t>24124</w:t>
            </w:r>
            <w:r w:rsidRPr="001D2FBD">
              <w:rPr>
                <w:sz w:val="20"/>
                <w:lang w:val="es-ES"/>
              </w:rPr>
              <w:noBreakHyphen/>
              <w:t>25</w:t>
            </w:r>
            <w:r w:rsidRPr="001D2FBD">
              <w:rPr>
                <w:sz w:val="20"/>
                <w:lang w:val="es-ES"/>
              </w:rPr>
              <w:noBreakHyphen/>
              <w:t>2</w:t>
            </w:r>
          </w:p>
          <w:p w:rsidR="00D80E42" w:rsidRPr="001D2FBD" w:rsidRDefault="00D80E42" w:rsidP="008E5192">
            <w:pPr>
              <w:spacing w:after="40"/>
              <w:jc w:val="center"/>
              <w:rPr>
                <w:sz w:val="20"/>
              </w:rPr>
            </w:pPr>
            <w:r w:rsidRPr="001D2FBD">
              <w:rPr>
                <w:sz w:val="20"/>
                <w:lang w:val="es-ES"/>
              </w:rPr>
              <w:t>85409</w:t>
            </w:r>
            <w:r w:rsidRPr="001D2FBD">
              <w:rPr>
                <w:sz w:val="20"/>
                <w:lang w:val="es-ES"/>
              </w:rPr>
              <w:noBreakHyphen/>
              <w:t>17</w:t>
            </w:r>
            <w:r w:rsidRPr="001D2FBD">
              <w:rPr>
                <w:sz w:val="20"/>
                <w:lang w:val="es-ES"/>
              </w:rPr>
              <w:noBreakHyphen/>
              <w:t>2</w:t>
            </w:r>
          </w:p>
        </w:tc>
        <w:tc>
          <w:tcPr>
            <w:tcW w:w="1931" w:type="dxa"/>
          </w:tcPr>
          <w:p w:rsidR="00D80E42" w:rsidRPr="001D2FBD" w:rsidRDefault="00D80E42" w:rsidP="008E5192">
            <w:pPr>
              <w:spacing w:after="60"/>
              <w:rPr>
                <w:bCs/>
                <w:sz w:val="20"/>
              </w:rPr>
            </w:pPr>
          </w:p>
        </w:tc>
      </w:tr>
    </w:tbl>
    <w:p w:rsidR="00D80E42" w:rsidRPr="001D2FBD" w:rsidRDefault="00D80E42" w:rsidP="00D80E42">
      <w:pPr>
        <w:spacing w:before="120" w:after="120"/>
        <w:ind w:left="1247" w:firstLine="624"/>
        <w:rPr>
          <w:sz w:val="20"/>
          <w:lang w:val="es-ES"/>
        </w:rPr>
      </w:pPr>
      <w:r w:rsidRPr="001D2FBD">
        <w:rPr>
          <w:sz w:val="20"/>
          <w:lang w:val="es-ES"/>
        </w:rPr>
        <w:t>2.</w:t>
      </w:r>
      <w:r w:rsidRPr="001D2FBD">
        <w:rPr>
          <w:sz w:val="20"/>
          <w:lang w:val="es-ES"/>
        </w:rPr>
        <w:tab/>
      </w:r>
      <w:r w:rsidRPr="001D2FBD">
        <w:rPr>
          <w:i/>
          <w:iCs/>
          <w:sz w:val="20"/>
          <w:lang w:val="es-ES"/>
        </w:rPr>
        <w:t>Decide también</w:t>
      </w:r>
      <w:r w:rsidRPr="001D2FBD">
        <w:rPr>
          <w:sz w:val="20"/>
          <w:lang w:val="es-ES"/>
        </w:rPr>
        <w:t xml:space="preserve"> que es</w:t>
      </w:r>
      <w:r>
        <w:rPr>
          <w:sz w:val="20"/>
          <w:lang w:val="es-ES"/>
        </w:rPr>
        <w:t>t</w:t>
      </w:r>
      <w:r w:rsidRPr="001D2FBD">
        <w:rPr>
          <w:sz w:val="20"/>
          <w:lang w:val="es-ES"/>
        </w:rPr>
        <w:t>a enmienda entr</w:t>
      </w:r>
      <w:r>
        <w:rPr>
          <w:sz w:val="20"/>
          <w:lang w:val="es-ES"/>
        </w:rPr>
        <w:t>ará</w:t>
      </w:r>
      <w:r w:rsidRPr="001D2FBD">
        <w:rPr>
          <w:sz w:val="20"/>
          <w:lang w:val="es-ES"/>
        </w:rPr>
        <w:t xml:space="preserve"> en vigor para todas las Partes el 15 de septiembre de 2017; </w:t>
      </w:r>
    </w:p>
    <w:p w:rsidR="00D80E42" w:rsidRPr="001D2FBD" w:rsidRDefault="00D80E42" w:rsidP="00D80E42">
      <w:pPr>
        <w:spacing w:after="120"/>
        <w:ind w:left="1247" w:firstLine="624"/>
        <w:rPr>
          <w:sz w:val="20"/>
          <w:lang w:val="es-ES"/>
        </w:rPr>
      </w:pPr>
      <w:r w:rsidRPr="001D2FBD">
        <w:rPr>
          <w:sz w:val="20"/>
          <w:lang w:val="es-ES"/>
        </w:rPr>
        <w:t>3.</w:t>
      </w:r>
      <w:r w:rsidRPr="001D2FBD">
        <w:rPr>
          <w:sz w:val="20"/>
          <w:lang w:val="es-ES"/>
        </w:rPr>
        <w:tab/>
      </w:r>
      <w:r w:rsidRPr="001D2FBD">
        <w:rPr>
          <w:i/>
          <w:iCs/>
          <w:sz w:val="20"/>
          <w:lang w:val="es-ES"/>
        </w:rPr>
        <w:t>Aprueba</w:t>
      </w:r>
      <w:r w:rsidRPr="001D2FBD">
        <w:rPr>
          <w:sz w:val="20"/>
          <w:lang w:val="es-ES"/>
        </w:rPr>
        <w:t xml:space="preserve"> el documento revisado de orientación para la adopción de decisiones sobre los compuestos de </w:t>
      </w:r>
      <w:proofErr w:type="spellStart"/>
      <w:r w:rsidRPr="001D2FBD">
        <w:rPr>
          <w:sz w:val="20"/>
          <w:lang w:val="es-ES"/>
        </w:rPr>
        <w:t>tributilo</w:t>
      </w:r>
      <w:proofErr w:type="spellEnd"/>
      <w:r w:rsidRPr="001D2FBD">
        <w:rPr>
          <w:sz w:val="20"/>
          <w:lang w:val="es-ES"/>
        </w:rPr>
        <w:t xml:space="preserve"> de estaño</w:t>
      </w:r>
      <w:r w:rsidRPr="001D2FBD">
        <w:rPr>
          <w:rStyle w:val="FootnoteReference"/>
          <w:lang w:val="es-ES"/>
        </w:rPr>
        <w:footnoteReference w:id="1"/>
      </w:r>
      <w:r w:rsidRPr="001D2FBD">
        <w:rPr>
          <w:sz w:val="20"/>
          <w:lang w:val="es-ES"/>
        </w:rPr>
        <w:t>.</w:t>
      </w:r>
    </w:p>
    <w:p w:rsidR="0034514C" w:rsidRDefault="0034514C">
      <w:bookmarkStart w:id="0" w:name="_GoBack"/>
      <w:bookmarkEnd w:id="0"/>
    </w:p>
    <w:sectPr w:rsidR="0034514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D96" w:rsidRDefault="00810D96" w:rsidP="00D80E42">
      <w:r>
        <w:separator/>
      </w:r>
    </w:p>
  </w:endnote>
  <w:endnote w:type="continuationSeparator" w:id="0">
    <w:p w:rsidR="00810D96" w:rsidRDefault="00810D96" w:rsidP="00D80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D96" w:rsidRDefault="00810D96" w:rsidP="00D80E42">
      <w:r>
        <w:separator/>
      </w:r>
    </w:p>
  </w:footnote>
  <w:footnote w:type="continuationSeparator" w:id="0">
    <w:p w:rsidR="00810D96" w:rsidRDefault="00810D96" w:rsidP="00D80E42">
      <w:r>
        <w:continuationSeparator/>
      </w:r>
    </w:p>
  </w:footnote>
  <w:footnote w:id="1">
    <w:p w:rsidR="00D80E42" w:rsidRPr="00C40627" w:rsidRDefault="00D80E42" w:rsidP="00D80E42">
      <w:pPr>
        <w:pStyle w:val="FootnoteText"/>
        <w:rPr>
          <w:szCs w:val="18"/>
          <w:lang w:val="es-ES"/>
        </w:rPr>
      </w:pPr>
      <w:r w:rsidRPr="00C40627">
        <w:rPr>
          <w:rStyle w:val="FootnoteReference"/>
          <w:lang w:val="es-ES"/>
        </w:rPr>
        <w:footnoteRef/>
      </w:r>
      <w:r w:rsidRPr="00C40627">
        <w:rPr>
          <w:szCs w:val="18"/>
          <w:lang w:val="es-ES"/>
        </w:rPr>
        <w:t xml:space="preserve"> UNEP/FAO/RC/COP.8/13/Add.1, anexo.</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0E42"/>
    <w:rsid w:val="0034514C"/>
    <w:rsid w:val="00810D96"/>
    <w:rsid w:val="00D80E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E42"/>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D80E42"/>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uiPriority w:val="99"/>
    <w:rsid w:val="00D80E42"/>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rsid w:val="00D80E42"/>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D80E42"/>
    <w:rPr>
      <w:rFonts w:ascii="Times New Roman" w:eastAsia="Times New Roman" w:hAnsi="Times New Roman" w:cs="Times New Roman"/>
      <w:sz w:val="18"/>
      <w:szCs w:val="20"/>
      <w:lang w:val="fr-FR"/>
    </w:rPr>
  </w:style>
  <w:style w:type="character" w:customStyle="1" w:styleId="Normal-poolChar">
    <w:name w:val="Normal-pool Char"/>
    <w:link w:val="Normal-pool"/>
    <w:rsid w:val="00D80E42"/>
    <w:rPr>
      <w:rFonts w:ascii="Times New Roman" w:eastAsia="Times New Roman" w:hAnsi="Times New Roman" w:cs="Times New Roman"/>
      <w:sz w:val="20"/>
      <w:szCs w:val="20"/>
      <w:lang w:val="en-GB"/>
    </w:rPr>
  </w:style>
  <w:style w:type="paragraph" w:customStyle="1" w:styleId="ca">
    <w:name w:val="ca"/>
    <w:basedOn w:val="Normal"/>
    <w:rsid w:val="00D80E42"/>
    <w:pPr>
      <w:spacing w:before="120"/>
    </w:pPr>
    <w:rPr>
      <w:color w:val="00000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E42"/>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D80E42"/>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symbol"/>
    <w:uiPriority w:val="99"/>
    <w:rsid w:val="00D80E42"/>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rsid w:val="00D80E42"/>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D80E42"/>
    <w:rPr>
      <w:rFonts w:ascii="Times New Roman" w:eastAsia="Times New Roman" w:hAnsi="Times New Roman" w:cs="Times New Roman"/>
      <w:sz w:val="18"/>
      <w:szCs w:val="20"/>
      <w:lang w:val="fr-FR"/>
    </w:rPr>
  </w:style>
  <w:style w:type="character" w:customStyle="1" w:styleId="Normal-poolChar">
    <w:name w:val="Normal-pool Char"/>
    <w:link w:val="Normal-pool"/>
    <w:rsid w:val="00D80E42"/>
    <w:rPr>
      <w:rFonts w:ascii="Times New Roman" w:eastAsia="Times New Roman" w:hAnsi="Times New Roman" w:cs="Times New Roman"/>
      <w:sz w:val="20"/>
      <w:szCs w:val="20"/>
      <w:lang w:val="en-GB"/>
    </w:rPr>
  </w:style>
  <w:style w:type="paragraph" w:customStyle="1" w:styleId="ca">
    <w:name w:val="ca"/>
    <w:basedOn w:val="Normal"/>
    <w:rsid w:val="00D80E42"/>
    <w:pPr>
      <w:spacing w:before="120"/>
    </w:pPr>
    <w:rPr>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Words>
  <Characters>1359</Characters>
  <Application>Microsoft Office Word</Application>
  <DocSecurity>0</DocSecurity>
  <Lines>11</Lines>
  <Paragraphs>3</Paragraphs>
  <ScaleCrop>false</ScaleCrop>
  <Company>UNEP/BRS</Company>
  <LinksUpToDate>false</LinksUpToDate>
  <CharactersWithSpaces>1594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Khanh ngo</cp:lastModifiedBy>
  <cp:revision>1</cp:revision>
  <dcterms:created xsi:type="dcterms:W3CDTF">2018-01-29T14:48:00Z</dcterms:created>
  <dcterms:modified xsi:type="dcterms:W3CDTF">2018-01-29T14:48:00Z</dcterms:modified>
</cp:coreProperties>
</file>