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1F1" w:rsidRPr="001D2FBD" w:rsidRDefault="000521F1" w:rsidP="000521F1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b/>
          <w:sz w:val="28"/>
          <w:szCs w:val="28"/>
          <w:lang w:val="es-ES"/>
        </w:rPr>
      </w:pPr>
      <w:r w:rsidRPr="001D2FBD">
        <w:rPr>
          <w:b/>
          <w:sz w:val="28"/>
          <w:szCs w:val="28"/>
          <w:lang w:val="es-ES"/>
        </w:rPr>
        <w:t>RC</w:t>
      </w:r>
      <w:r w:rsidRPr="001D2FBD">
        <w:rPr>
          <w:b/>
          <w:sz w:val="28"/>
          <w:szCs w:val="28"/>
          <w:lang w:val="es-ES"/>
        </w:rPr>
        <w:noBreakHyphen/>
        <w:t xml:space="preserve">8/6: Consideración del </w:t>
      </w:r>
      <w:proofErr w:type="spellStart"/>
      <w:r w:rsidRPr="001D2FBD">
        <w:rPr>
          <w:b/>
          <w:sz w:val="28"/>
          <w:szCs w:val="28"/>
          <w:lang w:val="es-ES"/>
        </w:rPr>
        <w:t>carbosulfán</w:t>
      </w:r>
      <w:proofErr w:type="spellEnd"/>
      <w:r w:rsidRPr="001D2FBD">
        <w:rPr>
          <w:b/>
          <w:sz w:val="28"/>
          <w:szCs w:val="28"/>
          <w:lang w:val="es-ES"/>
        </w:rPr>
        <w:t xml:space="preserve"> para su inclusión en el anexo III del Convenio de Rotterdam</w:t>
      </w:r>
    </w:p>
    <w:p w:rsidR="000521F1" w:rsidRPr="001D2FBD" w:rsidRDefault="000521F1" w:rsidP="000521F1">
      <w:pPr>
        <w:spacing w:after="120"/>
        <w:ind w:left="1247" w:firstLine="624"/>
        <w:rPr>
          <w:i/>
          <w:sz w:val="20"/>
          <w:lang w:val="es-ES"/>
        </w:rPr>
      </w:pPr>
      <w:r w:rsidRPr="001D2FBD">
        <w:rPr>
          <w:i/>
          <w:iCs/>
          <w:sz w:val="20"/>
          <w:lang w:val="es-ES"/>
        </w:rPr>
        <w:t>La Conferencia de las Partes,</w:t>
      </w:r>
    </w:p>
    <w:p w:rsidR="000521F1" w:rsidRPr="001D2FBD" w:rsidRDefault="000521F1" w:rsidP="000521F1">
      <w:pPr>
        <w:spacing w:after="120"/>
        <w:ind w:left="1247" w:firstLine="624"/>
        <w:rPr>
          <w:sz w:val="20"/>
          <w:lang w:val="es-ES"/>
        </w:rPr>
      </w:pPr>
      <w:r w:rsidRPr="001D2FBD">
        <w:rPr>
          <w:sz w:val="20"/>
          <w:lang w:val="es-ES"/>
        </w:rPr>
        <w:t xml:space="preserve">Tomando nota con reconocimiento de la labor realizada por el Comité de Examen de Productos Químicos en su consideración del </w:t>
      </w:r>
      <w:proofErr w:type="spellStart"/>
      <w:r w:rsidRPr="001D2FBD">
        <w:rPr>
          <w:sz w:val="20"/>
          <w:lang w:val="es-ES"/>
        </w:rPr>
        <w:t>carbosulfán</w:t>
      </w:r>
      <w:proofErr w:type="spellEnd"/>
      <w:r w:rsidRPr="001D2FBD">
        <w:rPr>
          <w:sz w:val="20"/>
          <w:lang w:val="es-ES"/>
        </w:rPr>
        <w:t>, en especial la calidad técnica y la exhaustividad del proyecto de documento de orientación para la adopción de decisiones sobre ese producto químico,</w:t>
      </w:r>
    </w:p>
    <w:p w:rsidR="000521F1" w:rsidRPr="001D2FBD" w:rsidRDefault="000521F1" w:rsidP="000521F1">
      <w:pPr>
        <w:spacing w:after="120"/>
        <w:ind w:left="1247" w:firstLine="624"/>
        <w:rPr>
          <w:sz w:val="20"/>
          <w:lang w:val="es-ES"/>
        </w:rPr>
      </w:pPr>
      <w:r w:rsidRPr="001D2FBD">
        <w:rPr>
          <w:i/>
          <w:iCs/>
          <w:sz w:val="20"/>
          <w:lang w:val="es-ES"/>
        </w:rPr>
        <w:t>Habiendo examinado</w:t>
      </w:r>
      <w:r w:rsidRPr="001D2FBD">
        <w:rPr>
          <w:sz w:val="20"/>
          <w:lang w:val="es-ES"/>
        </w:rPr>
        <w:t xml:space="preserve"> la recomendación del Comité de Examen de Productos Químicos de someter el </w:t>
      </w:r>
      <w:proofErr w:type="spellStart"/>
      <w:r w:rsidRPr="001D2FBD">
        <w:rPr>
          <w:sz w:val="20"/>
          <w:lang w:val="es-ES"/>
        </w:rPr>
        <w:t>carbosulfán</w:t>
      </w:r>
      <w:proofErr w:type="spellEnd"/>
      <w:r w:rsidRPr="001D2FBD">
        <w:rPr>
          <w:sz w:val="20"/>
          <w:lang w:val="es-ES"/>
        </w:rPr>
        <w:t xml:space="preserve"> al procedimiento de consentimiento fundamentado previo y, en consecuencia, incluirlo en el anexo III del Convenio de Rotterdam,</w:t>
      </w:r>
    </w:p>
    <w:p w:rsidR="000521F1" w:rsidRPr="001D2FBD" w:rsidRDefault="000521F1" w:rsidP="000521F1">
      <w:pPr>
        <w:spacing w:after="120"/>
        <w:ind w:left="1247" w:firstLine="624"/>
        <w:rPr>
          <w:i/>
          <w:sz w:val="20"/>
          <w:lang w:val="es-ES"/>
        </w:rPr>
      </w:pPr>
      <w:r w:rsidRPr="001D2FBD">
        <w:rPr>
          <w:i/>
          <w:iCs/>
          <w:sz w:val="20"/>
          <w:lang w:val="es-ES"/>
        </w:rPr>
        <w:t>Teniendo en cuenta</w:t>
      </w:r>
      <w:r w:rsidRPr="001D2FBD">
        <w:rPr>
          <w:sz w:val="20"/>
          <w:lang w:val="es-ES"/>
        </w:rPr>
        <w:t xml:space="preserve"> que la Conferencia de las Partes aún no ha llegado a un consenso sobre la conveniencia de incluir el </w:t>
      </w:r>
      <w:proofErr w:type="spellStart"/>
      <w:r w:rsidRPr="001D2FBD">
        <w:rPr>
          <w:sz w:val="20"/>
          <w:lang w:val="es-ES"/>
        </w:rPr>
        <w:t>carbosulfán</w:t>
      </w:r>
      <w:proofErr w:type="spellEnd"/>
      <w:r w:rsidRPr="001D2FBD">
        <w:rPr>
          <w:sz w:val="20"/>
          <w:lang w:val="es-ES"/>
        </w:rPr>
        <w:t>,</w:t>
      </w:r>
    </w:p>
    <w:p w:rsidR="000521F1" w:rsidRPr="001D2FBD" w:rsidRDefault="000521F1" w:rsidP="000521F1">
      <w:pPr>
        <w:spacing w:after="120"/>
        <w:ind w:left="1247" w:firstLine="624"/>
        <w:rPr>
          <w:sz w:val="20"/>
          <w:lang w:val="es-ES"/>
        </w:rPr>
      </w:pPr>
      <w:r w:rsidRPr="001D2FBD">
        <w:rPr>
          <w:i/>
          <w:iCs/>
          <w:sz w:val="20"/>
          <w:lang w:val="es-ES"/>
        </w:rPr>
        <w:t>Consciente</w:t>
      </w:r>
      <w:r w:rsidRPr="001D2FBD">
        <w:rPr>
          <w:sz w:val="20"/>
          <w:lang w:val="es-ES"/>
        </w:rPr>
        <w:t xml:space="preserve"> de que el hecho de que hasta la fecha no se haya alcanzado un consenso es motivo de preocupación para muchas Partes,</w:t>
      </w:r>
    </w:p>
    <w:p w:rsidR="000521F1" w:rsidRPr="001D2FBD" w:rsidRDefault="000521F1" w:rsidP="000521F1">
      <w:pPr>
        <w:spacing w:after="120"/>
        <w:ind w:left="1247" w:firstLine="624"/>
        <w:rPr>
          <w:snapToGrid w:val="0"/>
          <w:sz w:val="20"/>
          <w:lang w:val="es-ES"/>
        </w:rPr>
      </w:pPr>
      <w:r w:rsidRPr="001D2FBD">
        <w:rPr>
          <w:sz w:val="20"/>
          <w:lang w:val="es-ES"/>
        </w:rPr>
        <w:t>1.</w:t>
      </w:r>
      <w:r w:rsidRPr="001D2FBD">
        <w:rPr>
          <w:sz w:val="20"/>
          <w:lang w:val="es-ES"/>
        </w:rPr>
        <w:tab/>
      </w:r>
      <w:r w:rsidRPr="001D2FBD">
        <w:rPr>
          <w:i/>
          <w:iCs/>
          <w:sz w:val="20"/>
          <w:lang w:val="es-ES"/>
        </w:rPr>
        <w:t>Decide</w:t>
      </w:r>
      <w:r w:rsidRPr="001D2FBD">
        <w:rPr>
          <w:sz w:val="20"/>
          <w:lang w:val="es-ES"/>
        </w:rPr>
        <w:t xml:space="preserve"> que en el programa de la novena reunión de la Conferencia de las Partes siga examinándose el proyecto de decisión relativo a la enmienda del anexo III del Convenio de Rotterdam para incluir el producto químico siguiente:</w:t>
      </w:r>
    </w:p>
    <w:tbl>
      <w:tblPr>
        <w:tblW w:w="7654" w:type="dxa"/>
        <w:tblInd w:w="1440" w:type="dxa"/>
        <w:tblLayout w:type="fixed"/>
        <w:tblLook w:val="01E0" w:firstRow="1" w:lastRow="1" w:firstColumn="1" w:lastColumn="1" w:noHBand="0" w:noVBand="0"/>
      </w:tblPr>
      <w:tblGrid>
        <w:gridCol w:w="2715"/>
        <w:gridCol w:w="2552"/>
        <w:gridCol w:w="2387"/>
      </w:tblGrid>
      <w:tr w:rsidR="000521F1" w:rsidRPr="001D2FBD" w:rsidTr="008E5192"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1F1" w:rsidRPr="001D2FBD" w:rsidRDefault="000521F1" w:rsidP="008E5192">
            <w:pPr>
              <w:keepNext/>
              <w:spacing w:after="120"/>
              <w:outlineLvl w:val="3"/>
              <w:rPr>
                <w:b/>
                <w:snapToGrid w:val="0"/>
                <w:sz w:val="20"/>
              </w:rPr>
            </w:pPr>
            <w:r w:rsidRPr="001D2FBD">
              <w:rPr>
                <w:b/>
                <w:bCs/>
                <w:sz w:val="20"/>
                <w:lang w:val="es-ES"/>
              </w:rPr>
              <w:t>Producto químico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1F1" w:rsidRPr="001D2FBD" w:rsidRDefault="000521F1" w:rsidP="008E5192">
            <w:pPr>
              <w:spacing w:after="120"/>
              <w:rPr>
                <w:b/>
                <w:bCs/>
                <w:sz w:val="20"/>
                <w:lang w:val="es-ES"/>
              </w:rPr>
            </w:pPr>
            <w:r w:rsidRPr="001D2FBD">
              <w:rPr>
                <w:b/>
                <w:bCs/>
                <w:sz w:val="20"/>
                <w:lang w:val="es-ES"/>
              </w:rPr>
              <w:t>Número</w:t>
            </w:r>
            <w:r>
              <w:rPr>
                <w:b/>
                <w:bCs/>
                <w:sz w:val="20"/>
                <w:lang w:val="es-ES"/>
              </w:rPr>
              <w:t xml:space="preserve"> </w:t>
            </w:r>
            <w:r>
              <w:rPr>
                <w:b/>
                <w:sz w:val="20"/>
                <w:lang w:val="es-ES"/>
              </w:rPr>
              <w:t>o números</w:t>
            </w:r>
            <w:r w:rsidRPr="001D2FBD">
              <w:rPr>
                <w:b/>
                <w:bCs/>
                <w:sz w:val="20"/>
                <w:lang w:val="es-ES"/>
              </w:rPr>
              <w:t xml:space="preserve"> CAS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1F1" w:rsidRPr="001D2FBD" w:rsidRDefault="000521F1" w:rsidP="008E5192">
            <w:pPr>
              <w:spacing w:after="120"/>
              <w:rPr>
                <w:b/>
                <w:bCs/>
                <w:sz w:val="20"/>
              </w:rPr>
            </w:pPr>
            <w:r w:rsidRPr="001D2FBD">
              <w:rPr>
                <w:b/>
                <w:bCs/>
                <w:sz w:val="20"/>
                <w:lang w:val="es-ES"/>
              </w:rPr>
              <w:t>Categoría</w:t>
            </w:r>
          </w:p>
        </w:tc>
      </w:tr>
      <w:tr w:rsidR="000521F1" w:rsidRPr="001D2FBD" w:rsidTr="008E5192"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1F1" w:rsidRPr="001D2FBD" w:rsidRDefault="000521F1" w:rsidP="008E5192">
            <w:pPr>
              <w:spacing w:after="60"/>
              <w:rPr>
                <w:snapToGrid w:val="0"/>
                <w:sz w:val="20"/>
              </w:rPr>
            </w:pPr>
            <w:proofErr w:type="spellStart"/>
            <w:r w:rsidRPr="001D2FBD">
              <w:rPr>
                <w:sz w:val="20"/>
                <w:lang w:val="es-ES"/>
              </w:rPr>
              <w:t>Carbosulfán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1F1" w:rsidRPr="001D2FBD" w:rsidRDefault="000521F1" w:rsidP="008E5192">
            <w:pPr>
              <w:spacing w:after="60"/>
              <w:rPr>
                <w:sz w:val="20"/>
              </w:rPr>
            </w:pPr>
            <w:r w:rsidRPr="001D2FBD">
              <w:rPr>
                <w:sz w:val="20"/>
                <w:lang w:val="es-ES"/>
              </w:rPr>
              <w:t>55285</w:t>
            </w:r>
            <w:r w:rsidRPr="001D2FBD">
              <w:rPr>
                <w:sz w:val="20"/>
                <w:lang w:val="es-ES"/>
              </w:rPr>
              <w:noBreakHyphen/>
              <w:t>14</w:t>
            </w:r>
            <w:r w:rsidRPr="001D2FBD">
              <w:rPr>
                <w:sz w:val="20"/>
                <w:lang w:val="es-ES"/>
              </w:rPr>
              <w:noBreakHyphen/>
              <w:t>8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1F1" w:rsidRPr="001D2FBD" w:rsidRDefault="000521F1" w:rsidP="008E5192">
            <w:pPr>
              <w:spacing w:after="60"/>
              <w:rPr>
                <w:bCs/>
                <w:sz w:val="20"/>
              </w:rPr>
            </w:pPr>
            <w:r w:rsidRPr="001D2FBD">
              <w:rPr>
                <w:sz w:val="20"/>
                <w:lang w:val="es-ES"/>
              </w:rPr>
              <w:t>Plaguicida</w:t>
            </w:r>
          </w:p>
        </w:tc>
      </w:tr>
    </w:tbl>
    <w:p w:rsidR="000521F1" w:rsidRPr="001D2FBD" w:rsidRDefault="000521F1" w:rsidP="000521F1">
      <w:pPr>
        <w:spacing w:before="120" w:after="120"/>
        <w:ind w:left="1247" w:firstLine="624"/>
        <w:rPr>
          <w:sz w:val="20"/>
          <w:lang w:val="es-ES"/>
        </w:rPr>
      </w:pPr>
      <w:r w:rsidRPr="001D2FBD">
        <w:rPr>
          <w:sz w:val="20"/>
          <w:lang w:val="es-ES"/>
        </w:rPr>
        <w:t>2.</w:t>
      </w:r>
      <w:r w:rsidRPr="001D2FBD">
        <w:rPr>
          <w:sz w:val="20"/>
          <w:lang w:val="es-ES"/>
        </w:rPr>
        <w:tab/>
      </w:r>
      <w:r w:rsidRPr="001D2FBD">
        <w:rPr>
          <w:i/>
          <w:iCs/>
          <w:sz w:val="20"/>
          <w:lang w:val="es-ES"/>
        </w:rPr>
        <w:t>Decide</w:t>
      </w:r>
      <w:r w:rsidRPr="001D2FBD">
        <w:rPr>
          <w:sz w:val="20"/>
          <w:lang w:val="es-ES"/>
        </w:rPr>
        <w:t xml:space="preserve"> que se han satisfecho los requisitos establecidos en el artículo 5 del Convenio, incluidos los criterios estipulados en el anexo II del Convenio que se mencionan en el párrafo 6 del artículo 5, los requisitos establecidos en el párrafo 1 del artículo 7 del Convenio y los requisitos establecidos en la primera oración del párrafo 2 del artículo 7 del Convenio sobre el procedimiento para la inclusión de productos químicos en el anexo III del Convenio;</w:t>
      </w:r>
    </w:p>
    <w:p w:rsidR="000521F1" w:rsidRPr="001D2FBD" w:rsidRDefault="000521F1" w:rsidP="000521F1">
      <w:pPr>
        <w:spacing w:after="120"/>
        <w:ind w:left="1247" w:firstLine="624"/>
        <w:rPr>
          <w:sz w:val="20"/>
          <w:lang w:val="es-ES"/>
        </w:rPr>
      </w:pPr>
      <w:r w:rsidRPr="001D2FBD">
        <w:rPr>
          <w:sz w:val="20"/>
          <w:lang w:val="es-ES"/>
        </w:rPr>
        <w:t>3.</w:t>
      </w:r>
      <w:r w:rsidRPr="001D2FBD">
        <w:rPr>
          <w:sz w:val="20"/>
          <w:lang w:val="es-ES"/>
        </w:rPr>
        <w:tab/>
      </w:r>
      <w:r w:rsidRPr="001D2FBD">
        <w:rPr>
          <w:i/>
          <w:iCs/>
          <w:sz w:val="20"/>
          <w:lang w:val="es-ES"/>
        </w:rPr>
        <w:t>Alienta</w:t>
      </w:r>
      <w:r w:rsidRPr="001D2FBD">
        <w:rPr>
          <w:sz w:val="20"/>
          <w:lang w:val="es-ES"/>
        </w:rPr>
        <w:t xml:space="preserve"> a las Partes a usar toda la información disponible sobre el </w:t>
      </w:r>
      <w:proofErr w:type="spellStart"/>
      <w:r w:rsidRPr="001D2FBD">
        <w:rPr>
          <w:sz w:val="20"/>
          <w:lang w:val="es-ES"/>
        </w:rPr>
        <w:t>carbosulfán</w:t>
      </w:r>
      <w:proofErr w:type="spellEnd"/>
      <w:r w:rsidRPr="001D2FBD">
        <w:rPr>
          <w:sz w:val="20"/>
          <w:lang w:val="es-ES"/>
        </w:rPr>
        <w:t xml:space="preserve"> para ayudar a las demás, en particular las Partes que son países en desarrollo y las Partes con economías en transición, a adoptar decisiones fundamentadas con respecto a la importación y la gestión de </w:t>
      </w:r>
      <w:proofErr w:type="spellStart"/>
      <w:r w:rsidRPr="001D2FBD">
        <w:rPr>
          <w:sz w:val="20"/>
          <w:lang w:val="es-ES"/>
        </w:rPr>
        <w:t>carbosulfán</w:t>
      </w:r>
      <w:proofErr w:type="spellEnd"/>
      <w:r w:rsidRPr="001D2FBD">
        <w:rPr>
          <w:sz w:val="20"/>
          <w:lang w:val="es-ES"/>
        </w:rPr>
        <w:t xml:space="preserve"> e informar a otras Partes de esas decisiones mediante el intercambio de información dispuesto en el artículo 14.</w:t>
      </w:r>
    </w:p>
    <w:p w:rsidR="0034514C" w:rsidRDefault="0034514C">
      <w:bookmarkStart w:id="0" w:name="_GoBack"/>
      <w:bookmarkEnd w:id="0"/>
    </w:p>
    <w:sectPr w:rsidR="00345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1F1"/>
    <w:rsid w:val="000521F1"/>
    <w:rsid w:val="0034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F1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0521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0521F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F1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0521F1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0521F1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1785</Characters>
  <Application>Microsoft Office Word</Application>
  <DocSecurity>0</DocSecurity>
  <Lines>14</Lines>
  <Paragraphs>4</Paragraphs>
  <ScaleCrop>false</ScaleCrop>
  <Company>UNEP/BRS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2018-01-29T14:50:00Z</dcterms:created>
  <dcterms:modified xsi:type="dcterms:W3CDTF">2018-01-29T14:50:00Z</dcterms:modified>
</cp:coreProperties>
</file>