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617" w:rsidRPr="00ED0EE4" w:rsidRDefault="008A5617" w:rsidP="008A5617">
      <w:pPr>
        <w:pStyle w:val="BBTitle"/>
        <w:spacing w:after="120"/>
        <w:ind w:left="1253" w:right="0"/>
        <w:rPr>
          <w:lang w:val="fr-FR"/>
        </w:rPr>
      </w:pPr>
      <w:r w:rsidRPr="00ED0EE4">
        <w:rPr>
          <w:lang w:val="fr-FR"/>
        </w:rPr>
        <w:t>RC</w:t>
      </w:r>
      <w:r w:rsidRPr="00ED0EE4">
        <w:rPr>
          <w:lang w:val="fr-FR"/>
        </w:rPr>
        <w:noBreakHyphen/>
        <w:t xml:space="preserve">8/7 : </w:t>
      </w:r>
      <w:bookmarkStart w:id="0" w:name="_Hlk490550563"/>
      <w:bookmarkStart w:id="1" w:name="_Hlk490659338"/>
      <w:r w:rsidRPr="00ED0EE4">
        <w:rPr>
          <w:lang w:val="fr-FR"/>
        </w:rPr>
        <w:t xml:space="preserve">Examen </w:t>
      </w:r>
      <w:bookmarkStart w:id="2" w:name="_Hlk490121349"/>
      <w:r w:rsidRPr="00ED0EE4">
        <w:rPr>
          <w:lang w:val="fr-FR"/>
        </w:rPr>
        <w:t xml:space="preserve">du </w:t>
      </w:r>
      <w:proofErr w:type="spellStart"/>
      <w:r w:rsidRPr="00ED0EE4">
        <w:rPr>
          <w:lang w:val="fr-FR"/>
        </w:rPr>
        <w:t>fenthion</w:t>
      </w:r>
      <w:proofErr w:type="spellEnd"/>
      <w:r w:rsidRPr="00ED0EE4">
        <w:rPr>
          <w:lang w:val="fr-FR"/>
        </w:rPr>
        <w:t xml:space="preserve"> (préparations à ultra bas volume contenant des concentrations d’ingrédient actif supérieures </w:t>
      </w:r>
      <w:r w:rsidRPr="00ED0EE4">
        <w:rPr>
          <w:lang w:val="fr-FR"/>
        </w:rPr>
        <w:br/>
        <w:t>ou égales à 640 g/l)</w:t>
      </w:r>
      <w:bookmarkEnd w:id="2"/>
      <w:r w:rsidRPr="00ED0EE4">
        <w:rPr>
          <w:lang w:val="fr-FR"/>
        </w:rPr>
        <w:t xml:space="preserve"> en vue de son inscription à l’Annexe III </w:t>
      </w:r>
      <w:r w:rsidRPr="00ED0EE4">
        <w:rPr>
          <w:lang w:val="fr-FR"/>
        </w:rPr>
        <w:br/>
        <w:t>de la Convention</w:t>
      </w:r>
      <w:bookmarkEnd w:id="0"/>
      <w:r w:rsidRPr="00ED0EE4">
        <w:rPr>
          <w:lang w:val="fr-FR"/>
        </w:rPr>
        <w:t xml:space="preserve"> de Rotterdam</w:t>
      </w:r>
      <w:bookmarkEnd w:id="1"/>
    </w:p>
    <w:p w:rsidR="008A5617" w:rsidRPr="00ED0EE4" w:rsidRDefault="008A5617" w:rsidP="008A5617">
      <w:pPr>
        <w:pStyle w:val="NormalNonumber"/>
        <w:ind w:firstLine="571"/>
        <w:rPr>
          <w:i/>
          <w:iCs/>
          <w:lang w:val="fr-FR"/>
        </w:rPr>
      </w:pPr>
      <w:r w:rsidRPr="00ED0EE4">
        <w:rPr>
          <w:i/>
          <w:iCs/>
          <w:lang w:val="fr-FR"/>
        </w:rPr>
        <w:t>La Conférence des Parties,</w:t>
      </w:r>
    </w:p>
    <w:p w:rsidR="008A5617" w:rsidRPr="00ED0EE4" w:rsidRDefault="008A5617" w:rsidP="008A5617">
      <w:pPr>
        <w:pStyle w:val="NormalNonumber"/>
        <w:ind w:firstLine="571"/>
        <w:rPr>
          <w:lang w:val="fr-FR"/>
        </w:rPr>
      </w:pPr>
      <w:r w:rsidRPr="00ED0EE4">
        <w:rPr>
          <w:i/>
          <w:iCs/>
          <w:lang w:val="fr-FR"/>
        </w:rPr>
        <w:t>Notant avec satisfaction</w:t>
      </w:r>
      <w:r w:rsidRPr="00ED0EE4">
        <w:rPr>
          <w:lang w:val="fr-FR"/>
        </w:rPr>
        <w:t xml:space="preserve"> les travaux accomplis par le Comité d’étude des produits chimiques dans le cadre de l’examen du </w:t>
      </w:r>
      <w:bookmarkStart w:id="3" w:name="_Hlk490121422"/>
      <w:proofErr w:type="spellStart"/>
      <w:r w:rsidRPr="00ED0EE4">
        <w:rPr>
          <w:lang w:val="fr-FR"/>
        </w:rPr>
        <w:t>fenthion</w:t>
      </w:r>
      <w:proofErr w:type="spellEnd"/>
      <w:r w:rsidRPr="00ED0EE4">
        <w:rPr>
          <w:lang w:val="fr-FR"/>
        </w:rPr>
        <w:t xml:space="preserve"> (préparations à ultra bas volume contenant des concentrations d’ingrédient actif supérieures ou égales à 640 g/l)</w:t>
      </w:r>
      <w:bookmarkEnd w:id="3"/>
      <w:r w:rsidRPr="00ED0EE4">
        <w:rPr>
          <w:lang w:val="fr-FR"/>
        </w:rPr>
        <w:t>, en particulier la qualité technique et l’exhaustivité du projet de document d’orientation des décisions concernant ce produit chimique,</w:t>
      </w:r>
    </w:p>
    <w:p w:rsidR="008A5617" w:rsidRPr="00ED0EE4" w:rsidRDefault="008A5617" w:rsidP="008A5617">
      <w:pPr>
        <w:pStyle w:val="NormalNonumber"/>
        <w:ind w:firstLine="571"/>
        <w:rPr>
          <w:lang w:val="fr-FR"/>
        </w:rPr>
      </w:pPr>
      <w:bookmarkStart w:id="4" w:name="_DV_C1277"/>
      <w:r w:rsidRPr="00ED0EE4">
        <w:rPr>
          <w:i/>
          <w:lang w:val="fr-FR"/>
        </w:rPr>
        <w:t>Ayant examiné</w:t>
      </w:r>
      <w:r w:rsidRPr="00ED0EE4">
        <w:rPr>
          <w:lang w:val="fr-FR"/>
        </w:rPr>
        <w:t xml:space="preserve"> la recommandation du Comité d’étude des produits chimiques tendant à soumettre </w:t>
      </w:r>
      <w:bookmarkStart w:id="5" w:name="_Hlk490121548"/>
      <w:r w:rsidRPr="00ED0EE4">
        <w:rPr>
          <w:lang w:val="fr-FR"/>
        </w:rPr>
        <w:t xml:space="preserve">le </w:t>
      </w:r>
      <w:proofErr w:type="spellStart"/>
      <w:r w:rsidRPr="00ED0EE4">
        <w:rPr>
          <w:lang w:val="fr-FR"/>
        </w:rPr>
        <w:t>fenthion</w:t>
      </w:r>
      <w:proofErr w:type="spellEnd"/>
      <w:r w:rsidRPr="00ED0EE4">
        <w:rPr>
          <w:lang w:val="fr-FR"/>
        </w:rPr>
        <w:t xml:space="preserve"> (préparations à ultra bas volume contenant des concentrations d’ingrédient actif supérieures ou égales à 640 g/l)</w:t>
      </w:r>
      <w:bookmarkEnd w:id="5"/>
      <w:r w:rsidRPr="00ED0EE4">
        <w:rPr>
          <w:lang w:val="fr-FR"/>
        </w:rPr>
        <w:t xml:space="preserve"> à la procédure de consentement préalable en connaissance de cause et, en conséquence, à l’inscrire à l’Annexe III de la Convention de Rotterdam,</w:t>
      </w:r>
      <w:r w:rsidRPr="00ED0EE4">
        <w:rPr>
          <w:rStyle w:val="DeltaViewInsertion"/>
          <w:lang w:val="fr-FR"/>
        </w:rPr>
        <w:t xml:space="preserve"> </w:t>
      </w:r>
      <w:bookmarkEnd w:id="4"/>
    </w:p>
    <w:p w:rsidR="008A5617" w:rsidRPr="00ED0EE4" w:rsidRDefault="008A5617" w:rsidP="008A5617">
      <w:pPr>
        <w:pStyle w:val="NormalNonumber"/>
        <w:ind w:firstLine="571"/>
        <w:rPr>
          <w:b/>
          <w:lang w:val="fr-FR"/>
        </w:rPr>
      </w:pPr>
      <w:r w:rsidRPr="00ED0EE4">
        <w:rPr>
          <w:i/>
          <w:lang w:val="fr-FR"/>
        </w:rPr>
        <w:t xml:space="preserve">Tenant compte </w:t>
      </w:r>
      <w:r w:rsidRPr="00ED0EE4">
        <w:rPr>
          <w:lang w:val="fr-FR"/>
        </w:rPr>
        <w:t xml:space="preserve">du fait que la Conférence des Parties n’est pas encore en mesure de se prononcer unanimement sur la question de l’inscription </w:t>
      </w:r>
      <w:bookmarkStart w:id="6" w:name="_Hlk490121974"/>
      <w:r w:rsidRPr="00ED0EE4">
        <w:rPr>
          <w:lang w:val="fr-FR"/>
        </w:rPr>
        <w:t xml:space="preserve">du </w:t>
      </w:r>
      <w:proofErr w:type="spellStart"/>
      <w:r w:rsidRPr="00ED0EE4">
        <w:rPr>
          <w:lang w:val="fr-FR"/>
        </w:rPr>
        <w:t>fenthion</w:t>
      </w:r>
      <w:proofErr w:type="spellEnd"/>
      <w:r w:rsidRPr="00ED0EE4">
        <w:rPr>
          <w:lang w:val="fr-FR"/>
        </w:rPr>
        <w:t xml:space="preserve"> (préparations à ultra bas volume contenant des concentrations d’ingrédient actif supérieures ou égales à 640 g/l)</w:t>
      </w:r>
      <w:bookmarkEnd w:id="6"/>
      <w:r w:rsidRPr="00ED0EE4">
        <w:rPr>
          <w:lang w:val="fr-FR"/>
        </w:rPr>
        <w:t>,</w:t>
      </w:r>
    </w:p>
    <w:p w:rsidR="008A5617" w:rsidRPr="00ED0EE4" w:rsidRDefault="008A5617" w:rsidP="008A5617">
      <w:pPr>
        <w:pStyle w:val="NormalNonumber"/>
        <w:ind w:firstLine="571"/>
        <w:rPr>
          <w:lang w:val="fr-FR"/>
        </w:rPr>
      </w:pPr>
      <w:bookmarkStart w:id="7" w:name="_DV_C1280"/>
      <w:r w:rsidRPr="00ED0EE4">
        <w:rPr>
          <w:i/>
          <w:lang w:val="fr-FR"/>
        </w:rPr>
        <w:t>Sachant</w:t>
      </w:r>
      <w:r w:rsidRPr="00ED0EE4">
        <w:rPr>
          <w:lang w:val="fr-FR"/>
        </w:rPr>
        <w:t xml:space="preserve"> que cette incapacité de parvenir à un consensus à ce jour inquiète bon nombre de Parties,</w:t>
      </w:r>
    </w:p>
    <w:bookmarkEnd w:id="7"/>
    <w:p w:rsidR="008A5617" w:rsidRPr="00ED0EE4" w:rsidRDefault="008A5617" w:rsidP="008A5617">
      <w:pPr>
        <w:pStyle w:val="NormalNonumber"/>
        <w:ind w:firstLine="571"/>
        <w:rPr>
          <w:iCs/>
          <w:lang w:val="fr-FR"/>
        </w:rPr>
      </w:pPr>
      <w:r w:rsidRPr="00ED0EE4">
        <w:rPr>
          <w:lang w:val="fr-FR"/>
        </w:rPr>
        <w:t>1.</w:t>
      </w:r>
      <w:r w:rsidRPr="00ED0EE4">
        <w:rPr>
          <w:lang w:val="fr-FR"/>
        </w:rPr>
        <w:tab/>
      </w:r>
      <w:r w:rsidRPr="00ED0EE4">
        <w:rPr>
          <w:i/>
          <w:iCs/>
          <w:lang w:val="fr-FR"/>
        </w:rPr>
        <w:t xml:space="preserve">Décide </w:t>
      </w:r>
      <w:r w:rsidRPr="00ED0EE4">
        <w:rPr>
          <w:iCs/>
          <w:lang w:val="fr-FR"/>
        </w:rPr>
        <w:t>d’inscrire à l’ordre du jour de la neuvième réunion de la Conférence des Parties la poursuite de l’examen d’un projet de décision visant à amender l’Annexe III de la Convention de Rotterdam pour y inscrire </w:t>
      </w:r>
      <w:r w:rsidRPr="00ED0EE4">
        <w:rPr>
          <w:lang w:val="fr-FR"/>
        </w:rPr>
        <w:t>le produit chimique suivan</w:t>
      </w:r>
      <w:r w:rsidRPr="00ED0EE4">
        <w:rPr>
          <w:iCs/>
          <w:lang w:val="fr-FR"/>
        </w:rPr>
        <w:t>t :</w:t>
      </w:r>
    </w:p>
    <w:tbl>
      <w:tblPr>
        <w:tblStyle w:val="TableGrid"/>
        <w:tblW w:w="0" w:type="auto"/>
        <w:tblInd w:w="1260" w:type="dxa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2701"/>
        <w:gridCol w:w="2702"/>
      </w:tblGrid>
      <w:tr w:rsidR="008A5617" w:rsidRPr="00ED0EE4" w:rsidTr="00D47CE3">
        <w:tc>
          <w:tcPr>
            <w:tcW w:w="2824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8A5617" w:rsidRPr="00ED0EE4" w:rsidRDefault="008A5617" w:rsidP="00D47CE3">
            <w:pPr>
              <w:spacing w:after="120"/>
              <w:rPr>
                <w:b/>
              </w:rPr>
            </w:pPr>
            <w:r>
              <w:rPr>
                <w:b/>
              </w:rPr>
              <w:t>Nom du p</w:t>
            </w:r>
            <w:r w:rsidRPr="00ED0EE4">
              <w:rPr>
                <w:b/>
              </w:rPr>
              <w:t>roduit chimique</w:t>
            </w:r>
          </w:p>
        </w:tc>
        <w:tc>
          <w:tcPr>
            <w:tcW w:w="2701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8A5617" w:rsidRPr="00ED0EE4" w:rsidRDefault="008A5617" w:rsidP="00D47CE3">
            <w:pPr>
              <w:spacing w:after="120"/>
              <w:rPr>
                <w:b/>
              </w:rPr>
            </w:pPr>
            <w:r w:rsidRPr="00ED0EE4">
              <w:rPr>
                <w:b/>
              </w:rPr>
              <w:t xml:space="preserve">Numéro </w:t>
            </w:r>
            <w:r>
              <w:rPr>
                <w:b/>
              </w:rPr>
              <w:t>du Service des résumés analytiques de chimie</w:t>
            </w:r>
          </w:p>
        </w:tc>
        <w:tc>
          <w:tcPr>
            <w:tcW w:w="2702" w:type="dxa"/>
            <w:tcBorders>
              <w:top w:val="single" w:sz="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8A5617" w:rsidRPr="00ED0EE4" w:rsidRDefault="008A5617" w:rsidP="00D47CE3">
            <w:pPr>
              <w:spacing w:after="120"/>
              <w:rPr>
                <w:b/>
              </w:rPr>
            </w:pPr>
            <w:r w:rsidRPr="00ED0EE4">
              <w:rPr>
                <w:b/>
              </w:rPr>
              <w:t>Catégorie</w:t>
            </w:r>
          </w:p>
        </w:tc>
      </w:tr>
      <w:tr w:rsidR="008A5617" w:rsidRPr="00ED0EE4" w:rsidTr="00D47CE3">
        <w:tc>
          <w:tcPr>
            <w:tcW w:w="282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8A5617" w:rsidRPr="00ED0EE4" w:rsidRDefault="008A5617" w:rsidP="00D47CE3">
            <w:pPr>
              <w:spacing w:after="120"/>
              <w:rPr>
                <w:szCs w:val="28"/>
              </w:rPr>
            </w:pPr>
            <w:proofErr w:type="spellStart"/>
            <w:r w:rsidRPr="00ED0EE4">
              <w:rPr>
                <w:szCs w:val="28"/>
              </w:rPr>
              <w:t>Fenthion</w:t>
            </w:r>
            <w:proofErr w:type="spellEnd"/>
            <w:r w:rsidRPr="00ED0EE4">
              <w:rPr>
                <w:szCs w:val="28"/>
              </w:rPr>
              <w:t xml:space="preserve"> (préparations à ultra bas volume contenant des concentrations d’ingrédient actif supérieures ou égales à 640 g/l)</w:t>
            </w:r>
          </w:p>
        </w:tc>
        <w:tc>
          <w:tcPr>
            <w:tcW w:w="2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8A5617" w:rsidRPr="00ED0EE4" w:rsidRDefault="008A5617" w:rsidP="00D47CE3">
            <w:pPr>
              <w:spacing w:after="120"/>
              <w:rPr>
                <w:szCs w:val="28"/>
              </w:rPr>
            </w:pPr>
            <w:r w:rsidRPr="00ED0EE4">
              <w:rPr>
                <w:szCs w:val="28"/>
              </w:rPr>
              <w:t>55-38-9</w:t>
            </w:r>
          </w:p>
        </w:tc>
        <w:tc>
          <w:tcPr>
            <w:tcW w:w="270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8A5617" w:rsidRPr="00ED0EE4" w:rsidRDefault="008A5617" w:rsidP="00D47CE3">
            <w:pPr>
              <w:spacing w:after="120"/>
              <w:rPr>
                <w:szCs w:val="28"/>
              </w:rPr>
            </w:pPr>
            <w:r w:rsidRPr="00ED0EE4">
              <w:rPr>
                <w:szCs w:val="28"/>
              </w:rPr>
              <w:t>Préparation pesticide extrêmement dangereuse</w:t>
            </w:r>
          </w:p>
        </w:tc>
      </w:tr>
    </w:tbl>
    <w:p w:rsidR="008A5617" w:rsidRPr="00ED0EE4" w:rsidRDefault="008A5617" w:rsidP="008A5617">
      <w:pPr>
        <w:pStyle w:val="NormalNonumber"/>
        <w:spacing w:before="120"/>
        <w:ind w:left="1253" w:firstLine="576"/>
        <w:rPr>
          <w:lang w:val="fr-FR"/>
        </w:rPr>
      </w:pPr>
      <w:bookmarkStart w:id="8" w:name="_DV_C1288"/>
      <w:bookmarkStart w:id="9" w:name="_DV_C1290"/>
      <w:bookmarkEnd w:id="8"/>
      <w:r w:rsidRPr="00ED0EE4">
        <w:rPr>
          <w:lang w:val="fr-FR"/>
        </w:rPr>
        <w:t>2.</w:t>
      </w:r>
      <w:r w:rsidRPr="00ED0EE4">
        <w:rPr>
          <w:lang w:val="fr-FR"/>
        </w:rPr>
        <w:tab/>
      </w:r>
      <w:r w:rsidRPr="00ED0EE4">
        <w:rPr>
          <w:i/>
          <w:iCs/>
          <w:lang w:val="fr-FR"/>
        </w:rPr>
        <w:t>Décide </w:t>
      </w:r>
      <w:r w:rsidRPr="00ED0EE4">
        <w:rPr>
          <w:iCs/>
          <w:lang w:val="fr-FR"/>
        </w:rPr>
        <w:t>que les conditions figurant à l’article 6 de la Convention, y compris les critères énoncés dans la troisième partie de l’Annexe IV de la Convention et visés au paragraphe 5 de l’article 6, ainsi que les conditions énoncées au paragraphe 1 et dans la première phrase du paragraphe 2 de l’article 7 relatif à l’inscription de produits chimiques à l’Annexe III de la Convention sont remplies;</w:t>
      </w:r>
    </w:p>
    <w:bookmarkEnd w:id="9"/>
    <w:p w:rsidR="008A5617" w:rsidRPr="00ED0EE4" w:rsidRDefault="008A5617" w:rsidP="008A5617">
      <w:pPr>
        <w:pStyle w:val="NormalNonumber"/>
        <w:ind w:firstLine="571"/>
        <w:rPr>
          <w:iCs/>
          <w:lang w:val="fr-FR"/>
        </w:rPr>
      </w:pPr>
      <w:r w:rsidRPr="00ED0EE4">
        <w:rPr>
          <w:lang w:val="fr-FR"/>
        </w:rPr>
        <w:t>3.</w:t>
      </w:r>
      <w:r w:rsidRPr="00ED0EE4">
        <w:rPr>
          <w:lang w:val="fr-FR"/>
        </w:rPr>
        <w:tab/>
      </w:r>
      <w:r w:rsidRPr="00ED0EE4">
        <w:rPr>
          <w:i/>
          <w:iCs/>
          <w:lang w:val="fr-FR"/>
        </w:rPr>
        <w:t>Encourage</w:t>
      </w:r>
      <w:r w:rsidRPr="00ED0EE4">
        <w:rPr>
          <w:lang w:val="fr-FR"/>
        </w:rPr>
        <w:t xml:space="preserve"> </w:t>
      </w:r>
      <w:r w:rsidRPr="00ED0EE4">
        <w:rPr>
          <w:iCs/>
          <w:lang w:val="fr-FR"/>
        </w:rPr>
        <w:t xml:space="preserve">les Parties à se servir de toutes les informations disponibles sur </w:t>
      </w:r>
      <w:r w:rsidRPr="00ED0EE4">
        <w:rPr>
          <w:lang w:val="fr-FR"/>
        </w:rPr>
        <w:t xml:space="preserve">le </w:t>
      </w:r>
      <w:proofErr w:type="spellStart"/>
      <w:r w:rsidRPr="00ED0EE4">
        <w:rPr>
          <w:lang w:val="fr-FR"/>
        </w:rPr>
        <w:t>fenthion</w:t>
      </w:r>
      <w:proofErr w:type="spellEnd"/>
      <w:r w:rsidRPr="00ED0EE4">
        <w:rPr>
          <w:lang w:val="fr-FR"/>
        </w:rPr>
        <w:t xml:space="preserve"> (préparations à ultra bas volume contenant des concentrations d’ingrédient actif supérieures ou égales à 640 g/l)</w:t>
      </w:r>
      <w:r w:rsidRPr="00ED0EE4">
        <w:rPr>
          <w:iCs/>
          <w:lang w:val="fr-FR"/>
        </w:rPr>
        <w:t xml:space="preserve"> pour aider d’autres Parties, en particulier les pays en développement et en transition, à prendre des décisions en connaissance de cause concernant l’importation et la gestion du </w:t>
      </w:r>
      <w:proofErr w:type="spellStart"/>
      <w:r w:rsidRPr="00ED0EE4">
        <w:rPr>
          <w:lang w:val="fr-FR"/>
        </w:rPr>
        <w:t>fenthion</w:t>
      </w:r>
      <w:proofErr w:type="spellEnd"/>
      <w:r w:rsidRPr="00ED0EE4">
        <w:rPr>
          <w:lang w:val="fr-FR"/>
        </w:rPr>
        <w:t xml:space="preserve"> (préparations à ultra bas volume contenant des concentrations d’ingrédient actif supérieures ou égales à 640 g/l) </w:t>
      </w:r>
      <w:r w:rsidRPr="00ED0EE4">
        <w:rPr>
          <w:iCs/>
          <w:lang w:val="fr-FR"/>
        </w:rPr>
        <w:t>et à informer les autres Parties de ces décisions, en utilisant les dispositions relatives à l’échange d’informations énoncées à l’article 14.</w:t>
      </w:r>
    </w:p>
    <w:p w:rsidR="00C2226D" w:rsidRDefault="00C2226D">
      <w:bookmarkStart w:id="10" w:name="_GoBack"/>
      <w:bookmarkEnd w:id="10"/>
    </w:p>
    <w:sectPr w:rsidR="00C22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617"/>
    <w:rsid w:val="008A5617"/>
    <w:rsid w:val="00C2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617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A5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BTitle">
    <w:name w:val="BB_Title"/>
    <w:basedOn w:val="Normal"/>
    <w:rsid w:val="008A5617"/>
    <w:pPr>
      <w:keepNext/>
      <w:keepLines/>
      <w:tabs>
        <w:tab w:val="left" w:pos="4082"/>
      </w:tabs>
      <w:suppressAutoHyphens/>
      <w:spacing w:before="320" w:after="240"/>
      <w:ind w:left="1247" w:right="567"/>
    </w:pPr>
    <w:rPr>
      <w:b/>
      <w:sz w:val="28"/>
      <w:szCs w:val="28"/>
      <w:lang w:val="fr-CA"/>
    </w:rPr>
  </w:style>
  <w:style w:type="paragraph" w:customStyle="1" w:styleId="NormalNonumber">
    <w:name w:val="Normal_No_number"/>
    <w:basedOn w:val="Normal"/>
    <w:link w:val="NormalNonumberChar"/>
    <w:rsid w:val="008A5617"/>
    <w:pPr>
      <w:tabs>
        <w:tab w:val="left" w:pos="4082"/>
      </w:tabs>
      <w:spacing w:after="120"/>
      <w:ind w:left="1247"/>
    </w:pPr>
    <w:rPr>
      <w:lang w:val="fr-CA"/>
    </w:rPr>
  </w:style>
  <w:style w:type="character" w:customStyle="1" w:styleId="NormalNonumberChar">
    <w:name w:val="Normal_No_number Char"/>
    <w:link w:val="NormalNonumber"/>
    <w:locked/>
    <w:rsid w:val="008A5617"/>
    <w:rPr>
      <w:rFonts w:ascii="Times New Roman" w:eastAsia="Times New Roman" w:hAnsi="Times New Roman" w:cs="Times New Roman"/>
      <w:sz w:val="20"/>
      <w:szCs w:val="20"/>
      <w:lang w:val="fr-CA"/>
    </w:rPr>
  </w:style>
  <w:style w:type="character" w:customStyle="1" w:styleId="DeltaViewInsertion">
    <w:name w:val="DeltaView Insertion"/>
    <w:uiPriority w:val="99"/>
    <w:rsid w:val="008A5617"/>
    <w:rPr>
      <w:color w:val="0000FF"/>
      <w:u w:val="doub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5617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A56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BTitle">
    <w:name w:val="BB_Title"/>
    <w:basedOn w:val="Normal"/>
    <w:rsid w:val="008A5617"/>
    <w:pPr>
      <w:keepNext/>
      <w:keepLines/>
      <w:tabs>
        <w:tab w:val="left" w:pos="4082"/>
      </w:tabs>
      <w:suppressAutoHyphens/>
      <w:spacing w:before="320" w:after="240"/>
      <w:ind w:left="1247" w:right="567"/>
    </w:pPr>
    <w:rPr>
      <w:b/>
      <w:sz w:val="28"/>
      <w:szCs w:val="28"/>
      <w:lang w:val="fr-CA"/>
    </w:rPr>
  </w:style>
  <w:style w:type="paragraph" w:customStyle="1" w:styleId="NormalNonumber">
    <w:name w:val="Normal_No_number"/>
    <w:basedOn w:val="Normal"/>
    <w:link w:val="NormalNonumberChar"/>
    <w:rsid w:val="008A5617"/>
    <w:pPr>
      <w:tabs>
        <w:tab w:val="left" w:pos="4082"/>
      </w:tabs>
      <w:spacing w:after="120"/>
      <w:ind w:left="1247"/>
    </w:pPr>
    <w:rPr>
      <w:lang w:val="fr-CA"/>
    </w:rPr>
  </w:style>
  <w:style w:type="character" w:customStyle="1" w:styleId="NormalNonumberChar">
    <w:name w:val="Normal_No_number Char"/>
    <w:link w:val="NormalNonumber"/>
    <w:locked/>
    <w:rsid w:val="008A5617"/>
    <w:rPr>
      <w:rFonts w:ascii="Times New Roman" w:eastAsia="Times New Roman" w:hAnsi="Times New Roman" w:cs="Times New Roman"/>
      <w:sz w:val="20"/>
      <w:szCs w:val="20"/>
      <w:lang w:val="fr-CA"/>
    </w:rPr>
  </w:style>
  <w:style w:type="character" w:customStyle="1" w:styleId="DeltaViewInsertion">
    <w:name w:val="DeltaView Insertion"/>
    <w:uiPriority w:val="99"/>
    <w:rsid w:val="008A5617"/>
    <w:rPr>
      <w:color w:val="0000FF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2480</Characters>
  <Application>Microsoft Office Word</Application>
  <DocSecurity>0</DocSecurity>
  <Lines>20</Lines>
  <Paragraphs>5</Paragraphs>
  <ScaleCrop>false</ScaleCrop>
  <Company>UNEP/BRS</Company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 ngo</dc:creator>
  <cp:lastModifiedBy>Khanh ngo</cp:lastModifiedBy>
  <cp:revision>1</cp:revision>
  <dcterms:created xsi:type="dcterms:W3CDTF">2018-01-29T13:36:00Z</dcterms:created>
  <dcterms:modified xsi:type="dcterms:W3CDTF">2018-01-29T13:36:00Z</dcterms:modified>
</cp:coreProperties>
</file>