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74" w:rsidRPr="001D2FBD" w:rsidRDefault="00C51974" w:rsidP="00C51974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b/>
          <w:sz w:val="28"/>
          <w:szCs w:val="28"/>
          <w:lang w:val="es-ES"/>
        </w:rPr>
      </w:pPr>
      <w:r w:rsidRPr="001D2FBD">
        <w:rPr>
          <w:b/>
          <w:sz w:val="28"/>
          <w:szCs w:val="28"/>
          <w:lang w:val="es-ES"/>
        </w:rPr>
        <w:t>RC</w:t>
      </w:r>
      <w:r w:rsidRPr="001D2FBD">
        <w:rPr>
          <w:b/>
          <w:sz w:val="28"/>
          <w:szCs w:val="28"/>
          <w:lang w:val="es-ES"/>
        </w:rPr>
        <w:noBreakHyphen/>
        <w:t xml:space="preserve">8/7: Consideración del </w:t>
      </w:r>
      <w:proofErr w:type="spellStart"/>
      <w:r w:rsidRPr="001D2FBD">
        <w:rPr>
          <w:b/>
          <w:sz w:val="28"/>
          <w:szCs w:val="28"/>
          <w:lang w:val="es-ES"/>
        </w:rPr>
        <w:t>fentión</w:t>
      </w:r>
      <w:proofErr w:type="spellEnd"/>
      <w:r w:rsidRPr="001D2FBD">
        <w:rPr>
          <w:b/>
          <w:sz w:val="28"/>
          <w:szCs w:val="28"/>
          <w:lang w:val="es-ES"/>
        </w:rPr>
        <w:t xml:space="preserve"> (formulaciones de volumen ultra bajo con un mínimo de 640 g de ingrediente activo por litro) para su inclusión en el anexo III del Convenio de Rotterdam</w:t>
      </w:r>
    </w:p>
    <w:p w:rsidR="00C51974" w:rsidRPr="001D2FBD" w:rsidRDefault="00C51974" w:rsidP="00C51974">
      <w:pPr>
        <w:tabs>
          <w:tab w:val="left" w:pos="624"/>
        </w:tabs>
        <w:snapToGrid w:val="0"/>
        <w:spacing w:after="120"/>
        <w:ind w:left="1247" w:firstLine="624"/>
        <w:outlineLvl w:val="0"/>
        <w:rPr>
          <w:i/>
          <w:sz w:val="20"/>
          <w:lang w:val="es-ES"/>
        </w:rPr>
      </w:pPr>
      <w:r w:rsidRPr="001D2FBD">
        <w:rPr>
          <w:i/>
          <w:iCs/>
          <w:sz w:val="20"/>
          <w:lang w:val="es-ES"/>
        </w:rPr>
        <w:t>La Conferencia de las Partes,</w:t>
      </w:r>
    </w:p>
    <w:p w:rsidR="00C51974" w:rsidRPr="001D2FBD" w:rsidRDefault="00C51974" w:rsidP="00C51974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Tomando nota con reconocimiento de la labor realizada por el Comité de Examen de Productos Químicos en su examen de las formulaciones de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fentión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(formulaciones de volumen ultra bajo que contengan, como mínimo, 640 g/l de ingrediente activo), en particular la calidad técnica y la exhaustividad del proyecto de documento de orientación para la adopción de decisiones sobre ese producto químico,</w:t>
      </w:r>
    </w:p>
    <w:p w:rsidR="00C51974" w:rsidRPr="001D2FBD" w:rsidRDefault="00C51974" w:rsidP="00C51974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Habiendo examinado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la recomendación del Comité de Examen de Productos Químicos de someter el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fentión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(formulaciones de volumen ultra bajo que contengan, como mínimo, 640 g/l de ingrediente activo) al procedimiento de consentimiento fundamentado previo y, en consecuencia, incluirlo en el anexo III del Convenio de Rotterdam, </w:t>
      </w:r>
    </w:p>
    <w:p w:rsidR="00C51974" w:rsidRPr="001D2FBD" w:rsidRDefault="00C51974" w:rsidP="00C51974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b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Teniendo en cuenta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que la Conferencia de las Partes aún no ha llegado a un consenso sobre la conveniencia de incluir el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fentión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(formulaciones de volumen ultra bajo con un mínimo de 640 g/l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deingrediente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activo),</w:t>
      </w:r>
    </w:p>
    <w:p w:rsidR="00C51974" w:rsidRPr="001D2FBD" w:rsidRDefault="00C51974" w:rsidP="00C51974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Consciente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de que la falta de consenso ha causado preocupación a muchas Partes,</w:t>
      </w:r>
    </w:p>
    <w:p w:rsidR="00C51974" w:rsidRPr="001D2FBD" w:rsidRDefault="00C51974" w:rsidP="00C51974">
      <w:pPr>
        <w:pStyle w:val="ListParagraph"/>
        <w:numPr>
          <w:ilvl w:val="0"/>
          <w:numId w:val="1"/>
        </w:numPr>
        <w:tabs>
          <w:tab w:val="clear" w:pos="567"/>
          <w:tab w:val="left" w:pos="624"/>
          <w:tab w:val="left" w:pos="2430"/>
        </w:tabs>
        <w:snapToGrid w:val="0"/>
        <w:spacing w:after="120" w:line="240" w:lineRule="auto"/>
        <w:ind w:firstLine="624"/>
        <w:contextualSpacing w:val="0"/>
        <w:rPr>
          <w:rFonts w:ascii="Times New Roman" w:hAnsi="Times New Roman" w:cs="Times New Roman"/>
          <w:snapToGrid w:val="0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Decide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que en el programa de la novena reunión de la Conferencia de las Partes siga examinándose el proyecto de decisión relativo a la enmienda del anexo III del Convenio de Rotterdam para incluir el producto químico siguiente:</w:t>
      </w:r>
    </w:p>
    <w:tbl>
      <w:tblPr>
        <w:tblW w:w="8310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3685"/>
        <w:gridCol w:w="2552"/>
        <w:gridCol w:w="2073"/>
      </w:tblGrid>
      <w:tr w:rsidR="00C51974" w:rsidRPr="001D2FBD" w:rsidTr="008E5192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pStyle w:val="Heading4"/>
              <w:tabs>
                <w:tab w:val="left" w:pos="624"/>
                <w:tab w:val="left" w:pos="1871"/>
                <w:tab w:val="left" w:pos="2495"/>
              </w:tabs>
              <w:rPr>
                <w:snapToGrid w:val="0"/>
                <w:sz w:val="20"/>
              </w:rPr>
            </w:pPr>
            <w:r w:rsidRPr="001D2FBD">
              <w:rPr>
                <w:sz w:val="20"/>
                <w:lang w:val="es-ES"/>
              </w:rPr>
              <w:t xml:space="preserve"> </w:t>
            </w:r>
            <w:r w:rsidRPr="001D2FBD">
              <w:rPr>
                <w:bCs/>
                <w:sz w:val="20"/>
                <w:lang w:val="es-ES"/>
              </w:rPr>
              <w:t>Producto químico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b/>
                <w:bCs/>
                <w:sz w:val="20"/>
                <w:lang w:val="es-ES"/>
              </w:rPr>
            </w:pPr>
            <w:r w:rsidRPr="001D2FBD">
              <w:rPr>
                <w:b/>
                <w:bCs/>
                <w:sz w:val="20"/>
                <w:lang w:val="es-ES"/>
              </w:rPr>
              <w:t>Número</w:t>
            </w:r>
            <w:r>
              <w:rPr>
                <w:b/>
                <w:bCs/>
                <w:sz w:val="20"/>
                <w:lang w:val="es-ES"/>
              </w:rPr>
              <w:t xml:space="preserve"> </w:t>
            </w:r>
            <w:r>
              <w:rPr>
                <w:b/>
                <w:sz w:val="20"/>
                <w:lang w:val="es-ES"/>
              </w:rPr>
              <w:t>o números</w:t>
            </w:r>
            <w:r w:rsidRPr="001D2FBD">
              <w:rPr>
                <w:b/>
                <w:bCs/>
                <w:sz w:val="20"/>
                <w:lang w:val="es-ES"/>
              </w:rPr>
              <w:t xml:space="preserve"> CAS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b/>
                <w:bCs/>
                <w:sz w:val="20"/>
              </w:rPr>
            </w:pPr>
            <w:r w:rsidRPr="001D2FBD">
              <w:rPr>
                <w:b/>
                <w:bCs/>
                <w:sz w:val="20"/>
                <w:lang w:val="es-ES"/>
              </w:rPr>
              <w:t>Categoría</w:t>
            </w:r>
          </w:p>
        </w:tc>
      </w:tr>
      <w:tr w:rsidR="00C51974" w:rsidRPr="001D2FBD" w:rsidTr="008E5192"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napToGrid w:val="0"/>
                <w:sz w:val="20"/>
                <w:lang w:val="es-ES"/>
              </w:rPr>
            </w:pPr>
            <w:proofErr w:type="spellStart"/>
            <w:r w:rsidRPr="001D2FBD">
              <w:rPr>
                <w:sz w:val="20"/>
                <w:lang w:val="es-ES"/>
              </w:rPr>
              <w:t>Fentión</w:t>
            </w:r>
            <w:proofErr w:type="spellEnd"/>
            <w:r w:rsidRPr="001D2FBD">
              <w:rPr>
                <w:sz w:val="20"/>
                <w:lang w:val="es-ES"/>
              </w:rPr>
              <w:t xml:space="preserve"> (formulaciones de volumen ultra bajo que contengan, como mínimo, 640 g/l de ingrediente activo)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z w:val="20"/>
              </w:rPr>
            </w:pPr>
            <w:r w:rsidRPr="001D2FBD">
              <w:rPr>
                <w:sz w:val="20"/>
                <w:lang w:val="es-ES"/>
              </w:rPr>
              <w:t>55</w:t>
            </w:r>
            <w:r w:rsidRPr="001D2FBD">
              <w:rPr>
                <w:sz w:val="20"/>
                <w:lang w:val="es-ES"/>
              </w:rPr>
              <w:noBreakHyphen/>
              <w:t>38</w:t>
            </w:r>
            <w:r w:rsidRPr="001D2FBD">
              <w:rPr>
                <w:sz w:val="20"/>
                <w:lang w:val="es-ES"/>
              </w:rPr>
              <w:noBreakHyphen/>
              <w:t>9</w:t>
            </w:r>
          </w:p>
        </w:tc>
        <w:tc>
          <w:tcPr>
            <w:tcW w:w="20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1974" w:rsidRPr="001D2FBD" w:rsidRDefault="00C51974" w:rsidP="008E5192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z w:val="20"/>
              </w:rPr>
            </w:pPr>
            <w:r w:rsidRPr="001D2FBD">
              <w:rPr>
                <w:sz w:val="20"/>
                <w:lang w:val="es-ES"/>
              </w:rPr>
              <w:t>Formulación plaguicida extremadamente peligrosa</w:t>
            </w:r>
          </w:p>
        </w:tc>
      </w:tr>
    </w:tbl>
    <w:p w:rsidR="00C51974" w:rsidRPr="001D2FBD" w:rsidRDefault="00C51974" w:rsidP="00C51974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before="120" w:after="120" w:line="240" w:lineRule="auto"/>
        <w:ind w:firstLine="624"/>
        <w:contextualSpacing w:val="0"/>
        <w:rPr>
          <w:rFonts w:ascii="Times New Roman" w:hAnsi="Times New Roman" w:cs="Times New Roman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Decide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que se han satisfecho los requisitos establecidos en el artículo 6 del Convenio, incluidos los criterios estipulados en la parte 3 del anexo IV del Convenio que se mencionan en el párrafo 5 del artículo 6, los requisitos establecidos en el párrafo 1 del artículo 7 y los requisitos establecidos en la primera oración del párrafo 2 del artículo 7 sobre el procedimiento para la inclusión de productos químicos en el anexo III del Convenio;</w:t>
      </w:r>
    </w:p>
    <w:p w:rsidR="00C51974" w:rsidRPr="001D2FBD" w:rsidRDefault="00C51974" w:rsidP="00C51974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after="120" w:line="240" w:lineRule="auto"/>
        <w:ind w:firstLine="624"/>
        <w:contextualSpacing w:val="0"/>
        <w:rPr>
          <w:rFonts w:ascii="Times New Roman" w:hAnsi="Times New Roman" w:cs="Times New Roman"/>
          <w:sz w:val="20"/>
          <w:szCs w:val="20"/>
          <w:lang w:val="es-ES"/>
        </w:rPr>
      </w:pPr>
      <w:r w:rsidRPr="001D2FBD">
        <w:rPr>
          <w:rFonts w:ascii="Times New Roman" w:hAnsi="Times New Roman" w:cs="Times New Roman"/>
          <w:i/>
          <w:iCs/>
          <w:sz w:val="20"/>
          <w:szCs w:val="20"/>
          <w:lang w:val="es-ES"/>
        </w:rPr>
        <w:t>Alienta</w:t>
      </w:r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a las Partes a usar toda la información disponible sobre el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fentión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(formulaciones de volumen ultra bajo que contengan, como mínimo, 640 g/l de ingrediente activo) para ayudar a las demás, en particular las Partes que son países en desarrollo y las Partes con economías en transición, a adoptar decisiones fundamentadas con respecto a la importación y la gestión del </w:t>
      </w:r>
      <w:proofErr w:type="spellStart"/>
      <w:r w:rsidRPr="001D2FBD">
        <w:rPr>
          <w:rFonts w:ascii="Times New Roman" w:hAnsi="Times New Roman" w:cs="Times New Roman"/>
          <w:sz w:val="20"/>
          <w:szCs w:val="20"/>
          <w:lang w:val="es-ES"/>
        </w:rPr>
        <w:t>fentión</w:t>
      </w:r>
      <w:proofErr w:type="spellEnd"/>
      <w:r w:rsidRPr="001D2FBD">
        <w:rPr>
          <w:rFonts w:ascii="Times New Roman" w:hAnsi="Times New Roman" w:cs="Times New Roman"/>
          <w:sz w:val="20"/>
          <w:szCs w:val="20"/>
          <w:lang w:val="es-ES"/>
        </w:rPr>
        <w:t xml:space="preserve"> (formulaciones de volumen ultra bajo que contengan, como mínimo, 640 g/l de ingrediente activo) e informar a otras Partes de esas decisiones mediante el intercambio de información dispuesto en el artículo 14.</w:t>
      </w:r>
    </w:p>
    <w:p w:rsidR="0034514C" w:rsidRDefault="0034514C">
      <w:bookmarkStart w:id="0" w:name="_GoBack"/>
      <w:bookmarkEnd w:id="0"/>
    </w:p>
    <w:sectPr w:rsidR="003451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74"/>
    <w:rsid w:val="0034514C"/>
    <w:rsid w:val="00C5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74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9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Normal"/>
    <w:link w:val="Heading4Char"/>
    <w:qFormat/>
    <w:rsid w:val="00C51974"/>
    <w:pPr>
      <w:keepLines w:val="0"/>
      <w:spacing w:before="0" w:after="120"/>
      <w:ind w:left="1247" w:hanging="680"/>
      <w:outlineLvl w:val="3"/>
    </w:pPr>
    <w:rPr>
      <w:rFonts w:ascii="Times New Roman" w:eastAsia="Times New Roman" w:hAnsi="Times New Roman" w:cs="Times New Roman"/>
      <w:bCs w:val="0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51974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Normal-pool">
    <w:name w:val="Normal-pool"/>
    <w:link w:val="Normal-poolChar"/>
    <w:rsid w:val="00C519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C519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51974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974"/>
    <w:rPr>
      <w:rFonts w:asciiTheme="majorHAnsi" w:eastAsiaTheme="majorEastAsia" w:hAnsiTheme="majorHAnsi" w:cstheme="majorBidi"/>
      <w:b/>
      <w:bCs/>
      <w:color w:val="4F81BD" w:themeColor="accent1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74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9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Normal"/>
    <w:link w:val="Heading4Char"/>
    <w:qFormat/>
    <w:rsid w:val="00C51974"/>
    <w:pPr>
      <w:keepLines w:val="0"/>
      <w:spacing w:before="0" w:after="120"/>
      <w:ind w:left="1247" w:hanging="680"/>
      <w:outlineLvl w:val="3"/>
    </w:pPr>
    <w:rPr>
      <w:rFonts w:ascii="Times New Roman" w:eastAsia="Times New Roman" w:hAnsi="Times New Roman" w:cs="Times New Roman"/>
      <w:bCs w:val="0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51974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Normal-pool">
    <w:name w:val="Normal-pool"/>
    <w:link w:val="Normal-poolChar"/>
    <w:rsid w:val="00C51974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C5197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qFormat/>
    <w:rsid w:val="00C51974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974"/>
    <w:rPr>
      <w:rFonts w:asciiTheme="majorHAnsi" w:eastAsiaTheme="majorEastAsia" w:hAnsiTheme="majorHAnsi" w:cstheme="majorBidi"/>
      <w:b/>
      <w:bCs/>
      <w:color w:val="4F81BD" w:themeColor="accent1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2304</Characters>
  <Application>Microsoft Office Word</Application>
  <DocSecurity>0</DocSecurity>
  <Lines>19</Lines>
  <Paragraphs>5</Paragraphs>
  <ScaleCrop>false</ScaleCrop>
  <Company>UNEP/BRS</Company>
  <LinksUpToDate>false</LinksUpToDate>
  <CharactersWithSpaces>2703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2018-01-29T14:52:00Z</dcterms:created>
  <dcterms:modified xsi:type="dcterms:W3CDTF">2018-01-29T14:52:00Z</dcterms:modified>
</cp:coreProperties>
</file>