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D68" w:rsidRPr="004D14E7" w:rsidRDefault="009A1D68" w:rsidP="009A1D68">
      <w:pPr>
        <w:pStyle w:val="Normal-pool"/>
        <w:tabs>
          <w:tab w:val="clear" w:pos="1247"/>
          <w:tab w:val="clear" w:pos="1814"/>
          <w:tab w:val="clear" w:pos="2381"/>
          <w:tab w:val="clear" w:pos="2948"/>
          <w:tab w:val="clear" w:pos="3515"/>
          <w:tab w:val="left" w:pos="624"/>
        </w:tabs>
        <w:spacing w:after="120"/>
        <w:ind w:left="1276"/>
        <w:rPr>
          <w:sz w:val="28"/>
          <w:szCs w:val="28"/>
        </w:rPr>
      </w:pPr>
      <w:r w:rsidRPr="004D14E7">
        <w:rPr>
          <w:b/>
          <w:sz w:val="28"/>
          <w:szCs w:val="28"/>
        </w:rPr>
        <w:t>RC-8/9: Technical assistance</w:t>
      </w:r>
    </w:p>
    <w:p w:rsidR="009A1D68" w:rsidRPr="004D14E7" w:rsidRDefault="009A1D68" w:rsidP="009A1D68">
      <w:pPr>
        <w:tabs>
          <w:tab w:val="left" w:pos="624"/>
        </w:tabs>
        <w:spacing w:after="120"/>
        <w:ind w:left="1247" w:firstLine="624"/>
        <w:outlineLvl w:val="0"/>
        <w:rPr>
          <w:i/>
          <w:sz w:val="20"/>
        </w:rPr>
      </w:pPr>
      <w:r w:rsidRPr="004D14E7">
        <w:rPr>
          <w:i/>
          <w:sz w:val="20"/>
        </w:rPr>
        <w:t>The Conference of the Parties,</w:t>
      </w:r>
    </w:p>
    <w:p w:rsidR="009A1D68" w:rsidRPr="004D14E7" w:rsidRDefault="009A1D68" w:rsidP="009A1D68">
      <w:pPr>
        <w:pStyle w:val="Normal-pool"/>
        <w:tabs>
          <w:tab w:val="left" w:pos="624"/>
        </w:tabs>
        <w:spacing w:after="120"/>
        <w:ind w:left="1247" w:firstLine="624"/>
        <w:rPr>
          <w:color w:val="000000" w:themeColor="text1"/>
        </w:rPr>
      </w:pPr>
      <w:r w:rsidRPr="004D14E7">
        <w:rPr>
          <w:i/>
          <w:color w:val="000000" w:themeColor="text1"/>
        </w:rPr>
        <w:t>Noting</w:t>
      </w:r>
      <w:r w:rsidRPr="004D14E7">
        <w:rPr>
          <w:color w:val="000000" w:themeColor="text1"/>
        </w:rPr>
        <w:t xml:space="preserve"> the recommendations contained in the report on the overall review of the synergies arrangements,</w:t>
      </w:r>
      <w:r w:rsidRPr="004D14E7">
        <w:rPr>
          <w:rStyle w:val="FootnoteReference"/>
          <w:color w:val="000000" w:themeColor="text1"/>
        </w:rPr>
        <w:footnoteReference w:id="1"/>
      </w:r>
    </w:p>
    <w:p w:rsidR="009A1D68" w:rsidRPr="004D14E7" w:rsidRDefault="009A1D68" w:rsidP="009A1D68">
      <w:pPr>
        <w:pStyle w:val="Normal-pool"/>
        <w:numPr>
          <w:ilvl w:val="0"/>
          <w:numId w:val="1"/>
        </w:numPr>
        <w:tabs>
          <w:tab w:val="clear" w:pos="4082"/>
          <w:tab w:val="left" w:pos="624"/>
        </w:tabs>
        <w:spacing w:after="120"/>
        <w:ind w:left="1247" w:firstLine="624"/>
        <w:rPr>
          <w:color w:val="000000" w:themeColor="text1"/>
        </w:rPr>
      </w:pPr>
      <w:r w:rsidRPr="004D14E7">
        <w:rPr>
          <w:i/>
          <w:color w:val="000000" w:themeColor="text1"/>
        </w:rPr>
        <w:t xml:space="preserve">Requests </w:t>
      </w:r>
      <w:r w:rsidRPr="004D14E7">
        <w:rPr>
          <w:color w:val="000000" w:themeColor="text1"/>
        </w:rPr>
        <w:t xml:space="preserve">the Secretariat to continue to collect, through the database established for that purpose, information on the technical assistance and capacity-building needs of </w:t>
      </w:r>
      <w:r w:rsidRPr="004D14E7">
        <w:rPr>
          <w:color w:val="000000" w:themeColor="text1"/>
        </w:rPr>
        <w:br/>
        <w:t xml:space="preserve">developing-country Parties and Parties with economies in transition; </w:t>
      </w:r>
    </w:p>
    <w:p w:rsidR="009A1D68" w:rsidRPr="004D14E7" w:rsidRDefault="009A1D68" w:rsidP="009A1D68">
      <w:pPr>
        <w:pStyle w:val="Normal-pool"/>
        <w:numPr>
          <w:ilvl w:val="0"/>
          <w:numId w:val="1"/>
        </w:numPr>
        <w:tabs>
          <w:tab w:val="clear" w:pos="4082"/>
          <w:tab w:val="left" w:pos="624"/>
        </w:tabs>
        <w:spacing w:after="120"/>
        <w:ind w:left="1247" w:firstLine="624"/>
        <w:rPr>
          <w:i/>
          <w:color w:val="000000" w:themeColor="text1"/>
        </w:rPr>
      </w:pPr>
      <w:r w:rsidRPr="004D14E7">
        <w:rPr>
          <w:i/>
          <w:color w:val="000000" w:themeColor="text1"/>
        </w:rPr>
        <w:t xml:space="preserve">Welcomes </w:t>
      </w:r>
      <w:r w:rsidRPr="004D14E7">
        <w:rPr>
          <w:color w:val="000000" w:themeColor="text1"/>
        </w:rPr>
        <w:t>the technical assistance plan for the implementation of the Basel, Rotterdam and Stockholm conventions for the period 2018–2021</w:t>
      </w:r>
      <w:r w:rsidRPr="004D14E7">
        <w:rPr>
          <w:color w:val="000000" w:themeColor="text1"/>
          <w:vertAlign w:val="superscript"/>
        </w:rPr>
        <w:footnoteReference w:id="2"/>
      </w:r>
      <w:r w:rsidRPr="004D14E7">
        <w:rPr>
          <w:color w:val="000000" w:themeColor="text1"/>
        </w:rPr>
        <w:t xml:space="preserve"> and requests the Secretariat, subject to the availability of resources, to implement it in cooperation with relevant actors, striving to attract the programming capacity and financial resources of relevant international organizations;</w:t>
      </w:r>
    </w:p>
    <w:p w:rsidR="009A1D68" w:rsidRPr="004D14E7" w:rsidRDefault="009A1D68" w:rsidP="009A1D68">
      <w:pPr>
        <w:pStyle w:val="Normal-pool"/>
        <w:numPr>
          <w:ilvl w:val="0"/>
          <w:numId w:val="1"/>
        </w:numPr>
        <w:tabs>
          <w:tab w:val="clear" w:pos="4082"/>
          <w:tab w:val="left" w:pos="624"/>
        </w:tabs>
        <w:spacing w:after="120"/>
        <w:ind w:left="1247" w:firstLine="624"/>
        <w:rPr>
          <w:color w:val="000000" w:themeColor="text1"/>
        </w:rPr>
      </w:pPr>
      <w:r w:rsidRPr="004D14E7">
        <w:rPr>
          <w:i/>
          <w:color w:val="000000" w:themeColor="text1"/>
        </w:rPr>
        <w:t xml:space="preserve">Encourages </w:t>
      </w:r>
      <w:r w:rsidRPr="004D14E7">
        <w:rPr>
          <w:color w:val="000000" w:themeColor="text1"/>
        </w:rPr>
        <w:t xml:space="preserve">Parties, regional centres and others: </w:t>
      </w:r>
    </w:p>
    <w:p w:rsidR="009A1D68" w:rsidRPr="004D14E7" w:rsidRDefault="009A1D68" w:rsidP="009A1D68">
      <w:pPr>
        <w:pStyle w:val="Normal-pool"/>
        <w:numPr>
          <w:ilvl w:val="1"/>
          <w:numId w:val="2"/>
        </w:numPr>
        <w:tabs>
          <w:tab w:val="clear" w:pos="4082"/>
          <w:tab w:val="left" w:pos="624"/>
        </w:tabs>
        <w:spacing w:after="120"/>
        <w:ind w:left="1247" w:firstLine="624"/>
        <w:rPr>
          <w:color w:val="000000" w:themeColor="text1"/>
        </w:rPr>
      </w:pPr>
      <w:r w:rsidRPr="004D14E7">
        <w:rPr>
          <w:color w:val="000000" w:themeColor="text1"/>
        </w:rPr>
        <w:t xml:space="preserve">To make financial or in-kind contributions to facilitate the availability of </w:t>
      </w:r>
      <w:r w:rsidRPr="004D14E7">
        <w:rPr>
          <w:color w:val="000000" w:themeColor="text1"/>
        </w:rPr>
        <w:br/>
        <w:t xml:space="preserve">capacity-development materials and activities in appropriate official regional languages; </w:t>
      </w:r>
    </w:p>
    <w:p w:rsidR="009A1D68" w:rsidRPr="004D14E7" w:rsidRDefault="009A1D68" w:rsidP="009A1D68">
      <w:pPr>
        <w:pStyle w:val="Normal-pool"/>
        <w:numPr>
          <w:ilvl w:val="1"/>
          <w:numId w:val="2"/>
        </w:numPr>
        <w:tabs>
          <w:tab w:val="clear" w:pos="4082"/>
          <w:tab w:val="left" w:pos="624"/>
        </w:tabs>
        <w:spacing w:after="120"/>
        <w:ind w:left="1247" w:firstLine="624"/>
        <w:rPr>
          <w:color w:val="000000" w:themeColor="text1"/>
        </w:rPr>
      </w:pPr>
      <w:r w:rsidRPr="004D14E7">
        <w:rPr>
          <w:color w:val="000000" w:themeColor="text1"/>
        </w:rPr>
        <w:t>To undertake capacity-building activities in official local languages, as appropriate;</w:t>
      </w:r>
      <w:r w:rsidRPr="004D14E7">
        <w:rPr>
          <w:rStyle w:val="FootnoteReference"/>
          <w:color w:val="000000" w:themeColor="text1"/>
        </w:rPr>
        <w:t xml:space="preserve"> </w:t>
      </w:r>
      <w:r w:rsidRPr="004D14E7">
        <w:rPr>
          <w:color w:val="000000" w:themeColor="text1"/>
        </w:rPr>
        <w:t xml:space="preserve">  </w:t>
      </w:r>
    </w:p>
    <w:p w:rsidR="009A1D68" w:rsidRPr="004D14E7" w:rsidRDefault="009A1D68" w:rsidP="009A1D68">
      <w:pPr>
        <w:pStyle w:val="Normal-pool"/>
        <w:numPr>
          <w:ilvl w:val="0"/>
          <w:numId w:val="1"/>
        </w:numPr>
        <w:tabs>
          <w:tab w:val="clear" w:pos="4082"/>
          <w:tab w:val="left" w:pos="624"/>
        </w:tabs>
        <w:spacing w:after="120"/>
        <w:ind w:left="1247" w:firstLine="624"/>
        <w:rPr>
          <w:color w:val="000000" w:themeColor="text1"/>
        </w:rPr>
      </w:pPr>
      <w:r w:rsidRPr="004D14E7">
        <w:rPr>
          <w:i/>
          <w:color w:val="000000" w:themeColor="text1"/>
        </w:rPr>
        <w:t xml:space="preserve">Requests </w:t>
      </w:r>
      <w:r w:rsidRPr="004D14E7">
        <w:rPr>
          <w:color w:val="000000" w:themeColor="text1"/>
        </w:rPr>
        <w:t xml:space="preserve">the Secretariat in collaboration with other international organizations to explore additional ways of facilitating North-South, South-South and triangular cooperation in its technical assistance plan referred to in paragraph 2 above; </w:t>
      </w:r>
    </w:p>
    <w:p w:rsidR="009A1D68" w:rsidRPr="004D14E7" w:rsidRDefault="009A1D68" w:rsidP="009A1D68">
      <w:pPr>
        <w:pStyle w:val="Normal-pool"/>
        <w:numPr>
          <w:ilvl w:val="0"/>
          <w:numId w:val="1"/>
        </w:numPr>
        <w:tabs>
          <w:tab w:val="clear" w:pos="4082"/>
          <w:tab w:val="left" w:pos="624"/>
        </w:tabs>
        <w:spacing w:after="120"/>
        <w:ind w:left="1247" w:firstLine="624"/>
        <w:rPr>
          <w:color w:val="000000" w:themeColor="text1"/>
        </w:rPr>
      </w:pPr>
      <w:r w:rsidRPr="004D14E7">
        <w:rPr>
          <w:i/>
          <w:color w:val="000000" w:themeColor="text1"/>
        </w:rPr>
        <w:t xml:space="preserve">Emphasizes </w:t>
      </w:r>
      <w:r w:rsidRPr="004D14E7">
        <w:rPr>
          <w:color w:val="000000" w:themeColor="text1"/>
        </w:rPr>
        <w:t xml:space="preserve">the role of the regional centres, as set out in the provisions of the Basel Convention on the Control of Transboundary Movements of Hazardous Wastes and Their Disposal and the Stockholm Convention on Persistent Organic Pollutants, as well as the regional, </w:t>
      </w:r>
      <w:proofErr w:type="spellStart"/>
      <w:r w:rsidRPr="004D14E7">
        <w:rPr>
          <w:color w:val="000000" w:themeColor="text1"/>
        </w:rPr>
        <w:t>subregional</w:t>
      </w:r>
      <w:proofErr w:type="spellEnd"/>
      <w:r w:rsidRPr="004D14E7">
        <w:rPr>
          <w:color w:val="000000" w:themeColor="text1"/>
        </w:rPr>
        <w:t xml:space="preserve"> and country offices of the Food and Agriculture Organization of the United Nations, the United Nations Environment Programme and other participating organizations of the </w:t>
      </w:r>
      <w:r w:rsidRPr="004D14E7">
        <w:rPr>
          <w:color w:val="000000" w:themeColor="text1"/>
        </w:rPr>
        <w:br/>
        <w:t>Inter-Organization Programme for the Sound Management of Chemicals, in delivering, upon request, technical assistance at the regional level for the implementation of the Basel, Rotterdam and Stockholm conventions and in facilitating technology transfer to eligible Parties;</w:t>
      </w:r>
    </w:p>
    <w:p w:rsidR="009A1D68" w:rsidRPr="004D14E7" w:rsidRDefault="009A1D68" w:rsidP="009A1D68">
      <w:pPr>
        <w:pStyle w:val="Normal-pool"/>
        <w:numPr>
          <w:ilvl w:val="0"/>
          <w:numId w:val="1"/>
        </w:numPr>
        <w:tabs>
          <w:tab w:val="clear" w:pos="4082"/>
          <w:tab w:val="left" w:pos="624"/>
        </w:tabs>
        <w:spacing w:after="120"/>
        <w:ind w:left="1247" w:firstLine="624"/>
        <w:rPr>
          <w:color w:val="000000" w:themeColor="text1"/>
        </w:rPr>
      </w:pPr>
      <w:r w:rsidRPr="004D14E7">
        <w:rPr>
          <w:i/>
          <w:color w:val="000000" w:themeColor="text1"/>
        </w:rPr>
        <w:t xml:space="preserve">Welcomes </w:t>
      </w:r>
      <w:r w:rsidRPr="004D14E7">
        <w:rPr>
          <w:color w:val="000000" w:themeColor="text1"/>
        </w:rPr>
        <w:t>the United Nations Environment Assembly resolution highlighting the role of the regional centres of the Basel and Stockholm conventions in assisting the regions in the implementation of the two conventions and in other relevant work relating to the multilateral environmental agreements in the chemicals and waste cluster in the countries they serve;</w:t>
      </w:r>
      <w:r w:rsidRPr="004D14E7">
        <w:rPr>
          <w:rStyle w:val="FootnoteReference"/>
          <w:color w:val="000000" w:themeColor="text1"/>
        </w:rPr>
        <w:footnoteReference w:id="3"/>
      </w:r>
    </w:p>
    <w:p w:rsidR="009A1D68" w:rsidRPr="004D14E7" w:rsidRDefault="009A1D68" w:rsidP="009A1D68">
      <w:pPr>
        <w:pStyle w:val="Normal-pool"/>
        <w:numPr>
          <w:ilvl w:val="0"/>
          <w:numId w:val="1"/>
        </w:numPr>
        <w:tabs>
          <w:tab w:val="clear" w:pos="4082"/>
          <w:tab w:val="left" w:pos="624"/>
        </w:tabs>
        <w:spacing w:after="120"/>
        <w:ind w:left="1247" w:firstLine="624"/>
        <w:rPr>
          <w:color w:val="000000" w:themeColor="text1"/>
        </w:rPr>
      </w:pPr>
      <w:r w:rsidRPr="004D14E7">
        <w:rPr>
          <w:i/>
          <w:color w:val="000000" w:themeColor="text1"/>
        </w:rPr>
        <w:t>Requests</w:t>
      </w:r>
      <w:r w:rsidRPr="004D14E7">
        <w:rPr>
          <w:color w:val="000000" w:themeColor="text1"/>
        </w:rPr>
        <w:t xml:space="preserve"> the Secretariat to prepare a report for consideration by the Conference of the Parties at its next meeting on the implementation of the technical assistance plan for the period 2018</w:t>
      </w:r>
      <w:r w:rsidRPr="004D14E7">
        <w:rPr>
          <w:color w:val="000000" w:themeColor="text1"/>
        </w:rPr>
        <w:noBreakHyphen/>
        <w:t>2021, including, as appropriate, adjustments to the plan;</w:t>
      </w:r>
    </w:p>
    <w:p w:rsidR="009A1D68" w:rsidRPr="004D14E7" w:rsidRDefault="009A1D68" w:rsidP="009A1D68">
      <w:pPr>
        <w:pStyle w:val="Normal-pool"/>
        <w:numPr>
          <w:ilvl w:val="0"/>
          <w:numId w:val="1"/>
        </w:numPr>
        <w:tabs>
          <w:tab w:val="clear" w:pos="1247"/>
          <w:tab w:val="clear" w:pos="1814"/>
          <w:tab w:val="clear" w:pos="2381"/>
          <w:tab w:val="clear" w:pos="2948"/>
          <w:tab w:val="clear" w:pos="3515"/>
          <w:tab w:val="clear" w:pos="4082"/>
          <w:tab w:val="left" w:pos="624"/>
          <w:tab w:val="left" w:pos="2340"/>
        </w:tabs>
        <w:spacing w:after="120"/>
        <w:ind w:left="1247" w:firstLine="624"/>
        <w:rPr>
          <w:color w:val="000000" w:themeColor="text1"/>
        </w:rPr>
      </w:pPr>
      <w:bookmarkStart w:id="0" w:name="_Hlk497463488"/>
      <w:r w:rsidRPr="004D14E7">
        <w:rPr>
          <w:i/>
          <w:color w:val="000000" w:themeColor="text1"/>
        </w:rPr>
        <w:t>Also requests</w:t>
      </w:r>
      <w:r w:rsidRPr="004D14E7">
        <w:rPr>
          <w:color w:val="000000" w:themeColor="text1"/>
        </w:rPr>
        <w:t xml:space="preserve"> the Secretariat to report to the Conference of the Parties at its next meeting on the implementation of the present decision.</w:t>
      </w:r>
      <w:bookmarkEnd w:id="0"/>
    </w:p>
    <w:p w:rsidR="00C2226D" w:rsidRDefault="00C2226D">
      <w:bookmarkStart w:id="1" w:name="_GoBack"/>
      <w:bookmarkEnd w:id="1"/>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E64" w:rsidRDefault="00747E64" w:rsidP="009A1D68">
      <w:r>
        <w:separator/>
      </w:r>
    </w:p>
  </w:endnote>
  <w:endnote w:type="continuationSeparator" w:id="0">
    <w:p w:rsidR="00747E64" w:rsidRDefault="00747E64" w:rsidP="009A1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E64" w:rsidRDefault="00747E64" w:rsidP="009A1D68">
      <w:r>
        <w:separator/>
      </w:r>
    </w:p>
  </w:footnote>
  <w:footnote w:type="continuationSeparator" w:id="0">
    <w:p w:rsidR="00747E64" w:rsidRDefault="00747E64" w:rsidP="009A1D68">
      <w:r>
        <w:continuationSeparator/>
      </w:r>
    </w:p>
  </w:footnote>
  <w:footnote w:id="1">
    <w:p w:rsidR="009A1D68" w:rsidRPr="00197687" w:rsidRDefault="009A1D68" w:rsidP="009A1D68">
      <w:pPr>
        <w:pStyle w:val="FootnoteText"/>
        <w:tabs>
          <w:tab w:val="left" w:pos="624"/>
        </w:tabs>
        <w:rPr>
          <w:szCs w:val="18"/>
          <w:lang w:val="en-US"/>
        </w:rPr>
      </w:pPr>
      <w:r w:rsidRPr="00197687">
        <w:rPr>
          <w:rStyle w:val="FootnoteReference"/>
        </w:rPr>
        <w:footnoteRef/>
      </w:r>
      <w:r w:rsidRPr="00197687">
        <w:rPr>
          <w:szCs w:val="18"/>
          <w:lang w:val="en-US"/>
        </w:rPr>
        <w:t xml:space="preserve"> UNEP/</w:t>
      </w:r>
      <w:r w:rsidRPr="00197687">
        <w:rPr>
          <w:iCs/>
          <w:color w:val="000000"/>
          <w:szCs w:val="18"/>
          <w:lang w:val="en-US"/>
        </w:rPr>
        <w:t>CHW</w:t>
      </w:r>
      <w:r w:rsidRPr="00197687">
        <w:rPr>
          <w:szCs w:val="18"/>
          <w:lang w:val="en-US"/>
        </w:rPr>
        <w:t>.13/INF/43-UNEP/FAO/RC/COP.8/INF/29-UNEP/POPS/COP.8/INF/46.</w:t>
      </w:r>
    </w:p>
  </w:footnote>
  <w:footnote w:id="2">
    <w:p w:rsidR="009A1D68" w:rsidRPr="00197687" w:rsidRDefault="009A1D68" w:rsidP="009A1D68">
      <w:pPr>
        <w:pStyle w:val="FootnoteText"/>
        <w:tabs>
          <w:tab w:val="left" w:pos="624"/>
        </w:tabs>
        <w:rPr>
          <w:szCs w:val="18"/>
          <w:lang w:val="en-US"/>
        </w:rPr>
      </w:pPr>
      <w:r w:rsidRPr="00197687">
        <w:rPr>
          <w:rStyle w:val="FootnoteReference"/>
        </w:rPr>
        <w:footnoteRef/>
      </w:r>
      <w:r w:rsidRPr="00197687">
        <w:rPr>
          <w:szCs w:val="18"/>
          <w:lang w:val="en-US"/>
        </w:rPr>
        <w:t xml:space="preserve"> </w:t>
      </w:r>
      <w:r w:rsidRPr="00197687">
        <w:rPr>
          <w:iCs/>
          <w:color w:val="000000"/>
          <w:szCs w:val="18"/>
          <w:lang w:val="en-US"/>
        </w:rPr>
        <w:t>UNEP/CHW.13/</w:t>
      </w:r>
      <w:r w:rsidRPr="00197687">
        <w:rPr>
          <w:color w:val="000000"/>
          <w:szCs w:val="18"/>
          <w:lang w:val="en-US"/>
        </w:rPr>
        <w:t>INF/</w:t>
      </w:r>
      <w:r w:rsidRPr="00197687">
        <w:rPr>
          <w:iCs/>
          <w:color w:val="000000"/>
          <w:szCs w:val="18"/>
          <w:lang w:val="en-US"/>
        </w:rPr>
        <w:t>36</w:t>
      </w:r>
      <w:r w:rsidRPr="00197687">
        <w:rPr>
          <w:color w:val="000000"/>
          <w:szCs w:val="18"/>
          <w:lang w:val="en-US"/>
        </w:rPr>
        <w:t>-</w:t>
      </w:r>
      <w:r w:rsidRPr="00197687">
        <w:rPr>
          <w:iCs/>
          <w:color w:val="000000"/>
          <w:szCs w:val="18"/>
          <w:lang w:val="en-US"/>
        </w:rPr>
        <w:t>UNEP/FAO/RC/COP.8/INF/26-UNEP/POPS/COP.8/INF/25.</w:t>
      </w:r>
    </w:p>
  </w:footnote>
  <w:footnote w:id="3">
    <w:p w:rsidR="009A1D68" w:rsidRPr="00197687" w:rsidRDefault="009A1D68" w:rsidP="009A1D68">
      <w:pPr>
        <w:pStyle w:val="FootnoteText"/>
        <w:tabs>
          <w:tab w:val="left" w:pos="624"/>
        </w:tabs>
        <w:rPr>
          <w:szCs w:val="18"/>
          <w:lang w:val="en-US"/>
        </w:rPr>
      </w:pPr>
      <w:r w:rsidRPr="00197687">
        <w:rPr>
          <w:rStyle w:val="FootnoteReference"/>
        </w:rPr>
        <w:footnoteRef/>
      </w:r>
      <w:r w:rsidRPr="00197687">
        <w:rPr>
          <w:szCs w:val="18"/>
          <w:lang w:val="en-US"/>
        </w:rPr>
        <w:t xml:space="preserve"> </w:t>
      </w:r>
      <w:r w:rsidRPr="00197687">
        <w:rPr>
          <w:iCs/>
          <w:color w:val="000000"/>
          <w:szCs w:val="18"/>
          <w:lang w:val="en-US"/>
        </w:rPr>
        <w:t>See United Nations Environment Assembly resolution 2/7 on the sound management of chemicals and waste.</w:t>
      </w:r>
      <w:r w:rsidRPr="00197687">
        <w:rPr>
          <w:szCs w:val="18"/>
          <w:lang w:val="en-US"/>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51ED3"/>
    <w:multiLevelType w:val="hybridMultilevel"/>
    <w:tmpl w:val="1020108C"/>
    <w:lvl w:ilvl="0" w:tplc="BAD40E26">
      <w:start w:val="1"/>
      <w:numFmt w:val="decimal"/>
      <w:lvlText w:val="%1."/>
      <w:lvlJc w:val="left"/>
      <w:pPr>
        <w:ind w:left="2591" w:hanging="360"/>
      </w:pPr>
      <w:rPr>
        <w:i w:val="0"/>
      </w:rPr>
    </w:lvl>
    <w:lvl w:ilvl="1" w:tplc="4BDA7C56">
      <w:start w:val="1"/>
      <w:numFmt w:val="lowerLetter"/>
      <w:lvlText w:val="(%2)"/>
      <w:lvlJc w:val="left"/>
      <w:pPr>
        <w:ind w:left="3581" w:hanging="63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
    <w:nsid w:val="600D1F7C"/>
    <w:multiLevelType w:val="hybridMultilevel"/>
    <w:tmpl w:val="9614E2E2"/>
    <w:lvl w:ilvl="0" w:tplc="B6AE9F38">
      <w:start w:val="1"/>
      <w:numFmt w:val="lowerLetter"/>
      <w:lvlText w:val="(%1)"/>
      <w:lvlJc w:val="left"/>
      <w:pPr>
        <w:ind w:left="3213" w:hanging="360"/>
      </w:pPr>
    </w:lvl>
    <w:lvl w:ilvl="1" w:tplc="4BDA7C56">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D68"/>
    <w:rsid w:val="00747E64"/>
    <w:rsid w:val="009A1D68"/>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68"/>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9A1D6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9A1D68"/>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9A1D68"/>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9A1D68"/>
    <w:rPr>
      <w:rFonts w:ascii="Times New Roman" w:eastAsia="Times New Roman" w:hAnsi="Times New Roman" w:cs="Times New Roman"/>
      <w:sz w:val="18"/>
      <w:szCs w:val="20"/>
      <w:lang w:val="fr-FR"/>
    </w:rPr>
  </w:style>
  <w:style w:type="character" w:customStyle="1" w:styleId="Normal-poolChar">
    <w:name w:val="Normal-pool Char"/>
    <w:link w:val="Normal-pool"/>
    <w:rsid w:val="009A1D68"/>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1D68"/>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9A1D6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9A1D68"/>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9A1D68"/>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9A1D68"/>
    <w:rPr>
      <w:rFonts w:ascii="Times New Roman" w:eastAsia="Times New Roman" w:hAnsi="Times New Roman" w:cs="Times New Roman"/>
      <w:sz w:val="18"/>
      <w:szCs w:val="20"/>
      <w:lang w:val="fr-FR"/>
    </w:rPr>
  </w:style>
  <w:style w:type="character" w:customStyle="1" w:styleId="Normal-poolChar">
    <w:name w:val="Normal-pool Char"/>
    <w:link w:val="Normal-pool"/>
    <w:rsid w:val="009A1D68"/>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2389</Characters>
  <Application>Microsoft Office Word</Application>
  <DocSecurity>0</DocSecurity>
  <Lines>19</Lines>
  <Paragraphs>5</Paragraphs>
  <ScaleCrop>false</ScaleCrop>
  <Company>UNEP/BRS</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2018-01-29T12:52:00Z</dcterms:created>
  <dcterms:modified xsi:type="dcterms:W3CDTF">2018-01-29T12:52:00Z</dcterms:modified>
</cp:coreProperties>
</file>