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E4E" w:rsidRPr="001D2FBD" w:rsidRDefault="006A3E4E" w:rsidP="006A3E4E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3973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>8/9: Asistencia técnica</w:t>
      </w:r>
    </w:p>
    <w:p w:rsidR="006A3E4E" w:rsidRPr="001D2FBD" w:rsidRDefault="006A3E4E" w:rsidP="006A3E4E">
      <w:pPr>
        <w:tabs>
          <w:tab w:val="left" w:pos="624"/>
        </w:tabs>
        <w:spacing w:after="120"/>
        <w:ind w:left="1247" w:firstLine="624"/>
        <w:outlineLvl w:val="0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La Conferencia de las Partes,</w:t>
      </w:r>
    </w:p>
    <w:p w:rsidR="006A3E4E" w:rsidRPr="001D2FBD" w:rsidRDefault="006A3E4E" w:rsidP="006A3E4E">
      <w:pPr>
        <w:pStyle w:val="Normal-pool"/>
        <w:tabs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Haciendo notar</w:t>
      </w:r>
      <w:r w:rsidRPr="001D2FBD">
        <w:rPr>
          <w:lang w:val="es-ES"/>
        </w:rPr>
        <w:t xml:space="preserve"> las recomendaciones que figuran en el informe sobre el examen general de los arreglos sobre sinergias</w:t>
      </w:r>
      <w:r w:rsidRPr="001D2FBD">
        <w:rPr>
          <w:rStyle w:val="FootnoteReference"/>
          <w:color w:val="000000" w:themeColor="text1"/>
          <w:lang w:val="es-ES"/>
        </w:rPr>
        <w:footnoteReference w:id="1"/>
      </w:r>
      <w:r w:rsidRPr="001D2FBD">
        <w:rPr>
          <w:lang w:val="es-ES"/>
        </w:rPr>
        <w:t>,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Solicita</w:t>
      </w:r>
      <w:r w:rsidRPr="001D2FBD">
        <w:rPr>
          <w:lang w:val="es-ES"/>
        </w:rPr>
        <w:t xml:space="preserve"> a la Secretaría que siga reuniendo, mediante la base de datos establecida con ese propósito, información sobre las necesidades de asistencia técnica y creación de capacidad de las Partes que son países en desarrollo y las Partes con economías en transición; 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i/>
          <w:color w:val="000000" w:themeColor="text1"/>
          <w:lang w:val="es-ES"/>
        </w:rPr>
      </w:pPr>
      <w:r w:rsidRPr="001D2FBD">
        <w:rPr>
          <w:i/>
          <w:iCs/>
          <w:lang w:val="es-ES"/>
        </w:rPr>
        <w:t>Acoge con satisfacción</w:t>
      </w:r>
      <w:r w:rsidRPr="001D2FBD">
        <w:rPr>
          <w:lang w:val="es-ES"/>
        </w:rPr>
        <w:t xml:space="preserve"> el plan de asistencia técnica para la aplicación de los Convenios de Basilea, Estocolmo y Rotterdam en el período 2018</w:t>
      </w:r>
      <w:r w:rsidRPr="001D2FBD">
        <w:rPr>
          <w:lang w:val="es-ES"/>
        </w:rPr>
        <w:noBreakHyphen/>
        <w:t>2021</w:t>
      </w:r>
      <w:r w:rsidRPr="001D2FBD">
        <w:rPr>
          <w:color w:val="000000" w:themeColor="text1"/>
          <w:vertAlign w:val="superscript"/>
          <w:lang w:val="es-ES"/>
        </w:rPr>
        <w:footnoteReference w:id="2"/>
      </w:r>
      <w:r w:rsidRPr="001D2FBD">
        <w:rPr>
          <w:lang w:val="es-ES"/>
        </w:rPr>
        <w:t xml:space="preserve"> y pide a la Secretaría que, con sujeción a la disponibilidad de recursos, lo ponga en práctica en cooperación con actores pertinentes que se esfuercen por atraer la capacidad de programación y los recursos financieros de las organizaciones internacionales competentes;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Alienta</w:t>
      </w:r>
      <w:r w:rsidRPr="001D2FBD">
        <w:rPr>
          <w:lang w:val="es-ES"/>
        </w:rPr>
        <w:t xml:space="preserve"> a las Partes, los centros regionales y otras entidades a lo siguiente: </w:t>
      </w:r>
    </w:p>
    <w:p w:rsidR="006A3E4E" w:rsidRPr="001D2FBD" w:rsidRDefault="006A3E4E" w:rsidP="006A3E4E">
      <w:pPr>
        <w:pStyle w:val="Normal-pool"/>
        <w:numPr>
          <w:ilvl w:val="1"/>
          <w:numId w:val="2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lang w:val="es-ES"/>
        </w:rPr>
        <w:t xml:space="preserve">Efectuar contribuciones financieras o en especie que faciliten la disponibilidad de materiales y actividades para el desarrollo de la capacidad en los idiomas regionales oficiales que corresponda; </w:t>
      </w:r>
    </w:p>
    <w:p w:rsidR="006A3E4E" w:rsidRPr="001D2FBD" w:rsidRDefault="006A3E4E" w:rsidP="006A3E4E">
      <w:pPr>
        <w:pStyle w:val="Normal-pool"/>
        <w:numPr>
          <w:ilvl w:val="1"/>
          <w:numId w:val="2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lang w:val="es-ES"/>
        </w:rPr>
        <w:t xml:space="preserve">Emprender actividades de creación de capacidad en los idiomas locales, según proceda; 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que, en colaboración con otras organizaciones internacionales, estudie otras maneras de facilitar la cooperación Norte</w:t>
      </w:r>
      <w:r w:rsidRPr="001D2FBD">
        <w:rPr>
          <w:lang w:val="es-ES"/>
        </w:rPr>
        <w:noBreakHyphen/>
        <w:t>Sur, Sur</w:t>
      </w:r>
      <w:r w:rsidRPr="001D2FBD">
        <w:rPr>
          <w:lang w:val="es-ES"/>
        </w:rPr>
        <w:noBreakHyphen/>
        <w:t xml:space="preserve">Sur y triangular en el plan de asistencia técnica mencionado en el párrafo 2 de la presente decisión; 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Pone de relieve</w:t>
      </w:r>
      <w:r w:rsidRPr="001D2FBD">
        <w:rPr>
          <w:lang w:val="es-ES"/>
        </w:rPr>
        <w:t xml:space="preserve"> el papel de los centros regionales, estipulado en las disposiciones del Convenio de Basilea sobre el Control de los Movimientos Transfronterizos de los Desechos Peligrosos y su Eliminación y el Convenio de Estocolmo sobre Contaminantes Orgánicos Persistentes, y el de las oficinas regionales, subregionales y nacionales de la Organización de las Naciones Unidas para la Alimentación y la Agricultura, el Programa de las Naciones Unidas para el Medio Ambiente y otras organizaciones participantes en el Programa Interinstitucional para la Gestión Racional de los Productos Químicos, en la prestación de asistencia técnica, a solicitud de los interesados y en el plano regional, para la aplicación de los Convenios de Basilea, Estocolmo y Rotterdam, y en la facilitación de la transferencia de tecnología a las Partes que reúnan los requisitos para ello;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Acoge con satisfacción</w:t>
      </w:r>
      <w:r w:rsidRPr="001D2FBD">
        <w:rPr>
          <w:lang w:val="es-ES"/>
        </w:rPr>
        <w:t xml:space="preserve"> la resolución de la Asamblea de las Naciones Unidas que destaca el papel de los centros regionales de los Convenios de Basilea y Estocolmo en la ayuda a las regiones para aplicar ambos Convenios y en otras actividades relacionadas con los acuerdos ambientales multilaterales en el ámbito de los productos químicos y los desechos en los países en que ejercen su labor</w:t>
      </w:r>
      <w:r w:rsidRPr="001D2FBD">
        <w:rPr>
          <w:rStyle w:val="FootnoteReference"/>
          <w:color w:val="000000" w:themeColor="text1"/>
          <w:lang w:val="es-ES"/>
        </w:rPr>
        <w:footnoteReference w:id="3"/>
      </w:r>
      <w:r w:rsidRPr="001D2FBD">
        <w:rPr>
          <w:lang w:val="es-ES"/>
        </w:rPr>
        <w:t>;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4082"/>
          <w:tab w:val="left" w:pos="624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Pide</w:t>
      </w:r>
      <w:r w:rsidRPr="001D2FBD">
        <w:rPr>
          <w:lang w:val="es-ES"/>
        </w:rPr>
        <w:t xml:space="preserve"> a la Secretaría que prepare un informe para que la Conferencia de las Partes lo examine en su próxima reunión sobre la aplicación del plan de asistencia técnica para el período 2018</w:t>
      </w:r>
      <w:r w:rsidRPr="001D2FBD">
        <w:rPr>
          <w:lang w:val="es-ES"/>
        </w:rPr>
        <w:noBreakHyphen/>
        <w:t>2021 que incluya, según proceda, ajustes al plan;</w:t>
      </w:r>
    </w:p>
    <w:p w:rsidR="006A3E4E" w:rsidRPr="001D2FBD" w:rsidRDefault="006A3E4E" w:rsidP="006A3E4E">
      <w:pPr>
        <w:pStyle w:val="Normal-pool"/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  <w:tab w:val="left" w:pos="2340"/>
        </w:tabs>
        <w:spacing w:after="120"/>
        <w:ind w:left="1247" w:firstLine="624"/>
        <w:rPr>
          <w:color w:val="000000" w:themeColor="text1"/>
          <w:lang w:val="es-ES"/>
        </w:rPr>
      </w:pPr>
      <w:r w:rsidRPr="001D2FBD">
        <w:rPr>
          <w:i/>
          <w:iCs/>
          <w:lang w:val="es-ES"/>
        </w:rPr>
        <w:t>Pide también</w:t>
      </w:r>
      <w:r w:rsidRPr="001D2FBD">
        <w:rPr>
          <w:lang w:val="es-ES"/>
        </w:rPr>
        <w:t xml:space="preserve"> a la Secretaría que informe a la Conferencia de las Partes en su próxima reunión sobre la aplicación de la presente decisión.</w:t>
      </w:r>
    </w:p>
    <w:p w:rsidR="0034514C" w:rsidRDefault="0034514C">
      <w:bookmarkStart w:id="0" w:name="_GoBack"/>
      <w:bookmarkEnd w:id="0"/>
    </w:p>
    <w:sectPr w:rsidR="00345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B7" w:rsidRDefault="008F2FB7" w:rsidP="006A3E4E">
      <w:r>
        <w:separator/>
      </w:r>
    </w:p>
  </w:endnote>
  <w:endnote w:type="continuationSeparator" w:id="0">
    <w:p w:rsidR="008F2FB7" w:rsidRDefault="008F2FB7" w:rsidP="006A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B7" w:rsidRDefault="008F2FB7" w:rsidP="006A3E4E">
      <w:r>
        <w:separator/>
      </w:r>
    </w:p>
  </w:footnote>
  <w:footnote w:type="continuationSeparator" w:id="0">
    <w:p w:rsidR="008F2FB7" w:rsidRDefault="008F2FB7" w:rsidP="006A3E4E">
      <w:r>
        <w:continuationSeparator/>
      </w:r>
    </w:p>
  </w:footnote>
  <w:footnote w:id="1">
    <w:p w:rsidR="006A3E4E" w:rsidRPr="00C40627" w:rsidRDefault="006A3E4E" w:rsidP="006A3E4E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UNEP/CHW.13/INF/43-UNEP/FAO/RC/COP.8/INF/29-UNEP/POPS/COP.8/INF/46.</w:t>
      </w:r>
    </w:p>
  </w:footnote>
  <w:footnote w:id="2">
    <w:p w:rsidR="006A3E4E" w:rsidRPr="00C40627" w:rsidRDefault="006A3E4E" w:rsidP="006A3E4E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UNEP/CHW.13/INF/36-UNEP/FAO/RC/COP.8/INF/26-UNEP/POPS/COP.8/INF/25.</w:t>
      </w:r>
    </w:p>
  </w:footnote>
  <w:footnote w:id="3">
    <w:p w:rsidR="006A3E4E" w:rsidRPr="00C40627" w:rsidRDefault="006A3E4E" w:rsidP="006A3E4E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Véase la resolución 2/7 de la Asamblea de las Naciones sobre el Medio Ambiente, relativa a la gestión racional de los productos químicos y los desechos.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E51ED3"/>
    <w:multiLevelType w:val="hybridMultilevel"/>
    <w:tmpl w:val="1020108C"/>
    <w:lvl w:ilvl="0" w:tplc="BAD40E26">
      <w:start w:val="1"/>
      <w:numFmt w:val="decimal"/>
      <w:lvlText w:val="%1."/>
      <w:lvlJc w:val="left"/>
      <w:pPr>
        <w:ind w:left="2591" w:hanging="360"/>
      </w:pPr>
      <w:rPr>
        <w:i w:val="0"/>
      </w:rPr>
    </w:lvl>
    <w:lvl w:ilvl="1" w:tplc="4BDA7C56">
      <w:start w:val="1"/>
      <w:numFmt w:val="lowerLetter"/>
      <w:lvlText w:val="(%2)"/>
      <w:lvlJc w:val="left"/>
      <w:pPr>
        <w:ind w:left="3581" w:hanging="630"/>
      </w:pPr>
    </w:lvl>
    <w:lvl w:ilvl="2" w:tplc="0809001B">
      <w:start w:val="1"/>
      <w:numFmt w:val="lowerRoman"/>
      <w:lvlText w:val="%3."/>
      <w:lvlJc w:val="right"/>
      <w:pPr>
        <w:ind w:left="4031" w:hanging="180"/>
      </w:pPr>
    </w:lvl>
    <w:lvl w:ilvl="3" w:tplc="0809000F">
      <w:start w:val="1"/>
      <w:numFmt w:val="decimal"/>
      <w:lvlText w:val="%4."/>
      <w:lvlJc w:val="left"/>
      <w:pPr>
        <w:ind w:left="4751" w:hanging="360"/>
      </w:pPr>
    </w:lvl>
    <w:lvl w:ilvl="4" w:tplc="08090019">
      <w:start w:val="1"/>
      <w:numFmt w:val="lowerLetter"/>
      <w:lvlText w:val="%5."/>
      <w:lvlJc w:val="left"/>
      <w:pPr>
        <w:ind w:left="5471" w:hanging="360"/>
      </w:pPr>
    </w:lvl>
    <w:lvl w:ilvl="5" w:tplc="0809001B">
      <w:start w:val="1"/>
      <w:numFmt w:val="lowerRoman"/>
      <w:lvlText w:val="%6."/>
      <w:lvlJc w:val="right"/>
      <w:pPr>
        <w:ind w:left="6191" w:hanging="180"/>
      </w:pPr>
    </w:lvl>
    <w:lvl w:ilvl="6" w:tplc="0809000F">
      <w:start w:val="1"/>
      <w:numFmt w:val="decimal"/>
      <w:lvlText w:val="%7."/>
      <w:lvlJc w:val="left"/>
      <w:pPr>
        <w:ind w:left="6911" w:hanging="360"/>
      </w:pPr>
    </w:lvl>
    <w:lvl w:ilvl="7" w:tplc="08090019">
      <w:start w:val="1"/>
      <w:numFmt w:val="lowerLetter"/>
      <w:lvlText w:val="%8."/>
      <w:lvlJc w:val="left"/>
      <w:pPr>
        <w:ind w:left="7631" w:hanging="360"/>
      </w:pPr>
    </w:lvl>
    <w:lvl w:ilvl="8" w:tplc="0809001B">
      <w:start w:val="1"/>
      <w:numFmt w:val="lowerRoman"/>
      <w:lvlText w:val="%9."/>
      <w:lvlJc w:val="right"/>
      <w:pPr>
        <w:ind w:left="8351" w:hanging="180"/>
      </w:pPr>
    </w:lvl>
  </w:abstractNum>
  <w:abstractNum w:abstractNumId="1">
    <w:nsid w:val="600D1F7C"/>
    <w:multiLevelType w:val="hybridMultilevel"/>
    <w:tmpl w:val="2A4E6F02"/>
    <w:lvl w:ilvl="0" w:tplc="B6AE9F38">
      <w:start w:val="1"/>
      <w:numFmt w:val="lowerLetter"/>
      <w:lvlText w:val="(%1)"/>
      <w:lvlJc w:val="left"/>
      <w:pPr>
        <w:ind w:left="3213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4E"/>
    <w:rsid w:val="0034514C"/>
    <w:rsid w:val="006A3E4E"/>
    <w:rsid w:val="008F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E4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A3E4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6A3E4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6A3E4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6A3E4E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6A3E4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E4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A3E4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6A3E4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6A3E4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6A3E4E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6A3E4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2651</Characters>
  <Application>Microsoft Office Word</Application>
  <DocSecurity>0</DocSecurity>
  <Lines>22</Lines>
  <Paragraphs>6</Paragraphs>
  <ScaleCrop>false</ScaleCrop>
  <Company>UNEP/BRS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2018-01-29T14:56:00Z</dcterms:created>
  <dcterms:modified xsi:type="dcterms:W3CDTF">2018-01-29T14:56:00Z</dcterms:modified>
</cp:coreProperties>
</file>