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380A" w:rsidRPr="00851B6C" w:rsidRDefault="008B380A" w:rsidP="008B380A">
      <w:pPr>
        <w:tabs>
          <w:tab w:val="left" w:pos="624"/>
        </w:tabs>
        <w:spacing w:after="120"/>
        <w:ind w:left="1134"/>
        <w:rPr>
          <w:b/>
          <w:sz w:val="28"/>
          <w:szCs w:val="28"/>
        </w:rPr>
      </w:pPr>
      <w:r w:rsidRPr="00851B6C">
        <w:rPr>
          <w:b/>
          <w:sz w:val="28"/>
          <w:szCs w:val="28"/>
        </w:rPr>
        <w:t xml:space="preserve">SC-7/5: Evaluation of </w:t>
      </w:r>
      <w:proofErr w:type="spellStart"/>
      <w:r w:rsidRPr="00851B6C">
        <w:rPr>
          <w:b/>
          <w:sz w:val="28"/>
          <w:szCs w:val="28"/>
        </w:rPr>
        <w:t>perfluorooctane</w:t>
      </w:r>
      <w:proofErr w:type="spellEnd"/>
      <w:r w:rsidRPr="00851B6C">
        <w:rPr>
          <w:b/>
          <w:sz w:val="28"/>
          <w:szCs w:val="28"/>
        </w:rPr>
        <w:t xml:space="preserve"> </w:t>
      </w:r>
      <w:proofErr w:type="spellStart"/>
      <w:r w:rsidRPr="00851B6C">
        <w:rPr>
          <w:b/>
          <w:sz w:val="28"/>
          <w:szCs w:val="28"/>
        </w:rPr>
        <w:t>sulfonic</w:t>
      </w:r>
      <w:proofErr w:type="spellEnd"/>
      <w:r w:rsidRPr="00851B6C">
        <w:rPr>
          <w:b/>
          <w:sz w:val="28"/>
          <w:szCs w:val="28"/>
        </w:rPr>
        <w:t xml:space="preserve"> acid, its salts and </w:t>
      </w:r>
      <w:proofErr w:type="spellStart"/>
      <w:r w:rsidRPr="00851B6C">
        <w:rPr>
          <w:b/>
          <w:sz w:val="28"/>
          <w:szCs w:val="28"/>
        </w:rPr>
        <w:t>perfluorooctane</w:t>
      </w:r>
      <w:proofErr w:type="spellEnd"/>
      <w:r w:rsidRPr="00851B6C">
        <w:rPr>
          <w:b/>
          <w:sz w:val="28"/>
          <w:szCs w:val="28"/>
        </w:rPr>
        <w:t xml:space="preserve"> </w:t>
      </w:r>
      <w:proofErr w:type="spellStart"/>
      <w:r w:rsidRPr="00851B6C">
        <w:rPr>
          <w:b/>
          <w:sz w:val="28"/>
          <w:szCs w:val="28"/>
        </w:rPr>
        <w:t>sulfonyl</w:t>
      </w:r>
      <w:proofErr w:type="spellEnd"/>
      <w:r w:rsidRPr="00851B6C">
        <w:rPr>
          <w:b/>
          <w:sz w:val="28"/>
          <w:szCs w:val="28"/>
        </w:rPr>
        <w:t xml:space="preserve"> fluoride pursuant to paragraphs 5 and 6 of part III of Annex B to the Convention</w:t>
      </w:r>
    </w:p>
    <w:p w:rsidR="008B380A" w:rsidRPr="00887EB1" w:rsidRDefault="008B380A" w:rsidP="008B380A">
      <w:pPr>
        <w:tabs>
          <w:tab w:val="left" w:pos="624"/>
          <w:tab w:val="left" w:pos="2410"/>
        </w:tabs>
        <w:autoSpaceDE w:val="0"/>
        <w:autoSpaceDN w:val="0"/>
        <w:adjustRightInd w:val="0"/>
        <w:spacing w:after="120"/>
        <w:ind w:left="1247" w:firstLine="624"/>
        <w:rPr>
          <w:rFonts w:eastAsia="Calibri"/>
          <w:iCs/>
          <w:color w:val="000000"/>
          <w:sz w:val="20"/>
        </w:rPr>
      </w:pPr>
      <w:r w:rsidRPr="00851B6C">
        <w:rPr>
          <w:rFonts w:eastAsia="Calibri"/>
          <w:i/>
          <w:iCs/>
          <w:color w:val="000000"/>
          <w:sz w:val="20"/>
        </w:rPr>
        <w:t>The Conference of the Parties</w:t>
      </w:r>
      <w:r>
        <w:rPr>
          <w:rFonts w:eastAsia="Calibri"/>
          <w:i/>
          <w:iCs/>
          <w:color w:val="000000"/>
          <w:sz w:val="20"/>
        </w:rPr>
        <w:t>,</w:t>
      </w:r>
    </w:p>
    <w:p w:rsidR="008B380A" w:rsidRPr="00851B6C" w:rsidRDefault="008B380A" w:rsidP="008B380A">
      <w:pPr>
        <w:tabs>
          <w:tab w:val="left" w:pos="624"/>
          <w:tab w:val="left" w:pos="1247"/>
        </w:tabs>
        <w:autoSpaceDE w:val="0"/>
        <w:autoSpaceDN w:val="0"/>
        <w:adjustRightInd w:val="0"/>
        <w:spacing w:after="120"/>
        <w:ind w:left="1247" w:firstLine="624"/>
        <w:rPr>
          <w:rFonts w:eastAsia="Calibri"/>
          <w:color w:val="000000"/>
          <w:sz w:val="20"/>
        </w:rPr>
      </w:pPr>
      <w:r>
        <w:rPr>
          <w:rFonts w:eastAsia="Calibri"/>
          <w:i/>
          <w:iCs/>
          <w:color w:val="000000"/>
          <w:sz w:val="20"/>
        </w:rPr>
        <w:t>Recalling</w:t>
      </w:r>
      <w:r>
        <w:rPr>
          <w:rFonts w:eastAsia="Calibri"/>
          <w:color w:val="000000"/>
          <w:sz w:val="20"/>
        </w:rPr>
        <w:t xml:space="preserve"> its </w:t>
      </w:r>
      <w:r w:rsidRPr="00851B6C">
        <w:rPr>
          <w:rFonts w:eastAsia="Calibri"/>
          <w:color w:val="000000"/>
          <w:sz w:val="20"/>
        </w:rPr>
        <w:t>decision SC-7/1, in which it note</w:t>
      </w:r>
      <w:r>
        <w:rPr>
          <w:rFonts w:eastAsia="Calibri"/>
          <w:color w:val="000000"/>
          <w:sz w:val="20"/>
        </w:rPr>
        <w:t>s</w:t>
      </w:r>
      <w:r w:rsidRPr="00851B6C">
        <w:rPr>
          <w:rFonts w:eastAsia="Calibri"/>
          <w:color w:val="000000"/>
          <w:sz w:val="20"/>
        </w:rPr>
        <w:t xml:space="preserve">, pursuant to paragraph 9 of Article 4 of the Stockholm Convention on Persistent Organic Pollutants, that as there are no longer any parties registered for </w:t>
      </w:r>
      <w:r>
        <w:rPr>
          <w:rFonts w:eastAsia="Calibri"/>
          <w:color w:val="000000"/>
          <w:sz w:val="20"/>
        </w:rPr>
        <w:t xml:space="preserve">the </w:t>
      </w:r>
      <w:r w:rsidRPr="00851B6C">
        <w:rPr>
          <w:rFonts w:eastAsia="Calibri"/>
          <w:color w:val="000000"/>
          <w:sz w:val="20"/>
        </w:rPr>
        <w:t xml:space="preserve">specific exemptions for the production and use of </w:t>
      </w:r>
      <w:proofErr w:type="spellStart"/>
      <w:r w:rsidRPr="00851B6C">
        <w:rPr>
          <w:rFonts w:eastAsia="Calibri"/>
          <w:color w:val="000000"/>
          <w:sz w:val="20"/>
        </w:rPr>
        <w:t>perfluorooctane</w:t>
      </w:r>
      <w:proofErr w:type="spellEnd"/>
      <w:r w:rsidRPr="00851B6C">
        <w:rPr>
          <w:rFonts w:eastAsia="Calibri"/>
          <w:color w:val="000000"/>
          <w:sz w:val="20"/>
        </w:rPr>
        <w:t xml:space="preserve"> </w:t>
      </w:r>
      <w:proofErr w:type="spellStart"/>
      <w:r w:rsidRPr="00851B6C">
        <w:rPr>
          <w:rFonts w:eastAsia="Calibri"/>
          <w:color w:val="000000"/>
          <w:sz w:val="20"/>
        </w:rPr>
        <w:t>sulfonic</w:t>
      </w:r>
      <w:proofErr w:type="spellEnd"/>
      <w:r w:rsidRPr="00851B6C">
        <w:rPr>
          <w:rFonts w:eastAsia="Calibri"/>
          <w:color w:val="000000"/>
          <w:sz w:val="20"/>
        </w:rPr>
        <w:t xml:space="preserve"> acid, its salts and </w:t>
      </w:r>
      <w:proofErr w:type="spellStart"/>
      <w:r w:rsidRPr="00851B6C">
        <w:rPr>
          <w:rFonts w:eastAsia="Calibri"/>
          <w:color w:val="000000"/>
          <w:sz w:val="20"/>
        </w:rPr>
        <w:t>perfluorooctane</w:t>
      </w:r>
      <w:proofErr w:type="spellEnd"/>
      <w:r w:rsidRPr="00851B6C">
        <w:rPr>
          <w:rFonts w:eastAsia="Calibri"/>
          <w:color w:val="000000"/>
          <w:sz w:val="20"/>
        </w:rPr>
        <w:t xml:space="preserve"> </w:t>
      </w:r>
      <w:proofErr w:type="spellStart"/>
      <w:r w:rsidRPr="00851B6C">
        <w:rPr>
          <w:rFonts w:eastAsia="Calibri"/>
          <w:color w:val="000000"/>
          <w:sz w:val="20"/>
        </w:rPr>
        <w:t>sulfonyl</w:t>
      </w:r>
      <w:proofErr w:type="spellEnd"/>
      <w:r w:rsidRPr="00851B6C">
        <w:rPr>
          <w:rFonts w:eastAsia="Calibri"/>
          <w:color w:val="000000"/>
          <w:sz w:val="20"/>
        </w:rPr>
        <w:t xml:space="preserve"> fluoride for carpets, leather and apparel, textiles and upholstery, paper and packaging, coatings and coating additives</w:t>
      </w:r>
      <w:r>
        <w:rPr>
          <w:rFonts w:eastAsia="Calibri"/>
          <w:color w:val="000000"/>
          <w:sz w:val="20"/>
        </w:rPr>
        <w:t xml:space="preserve"> and </w:t>
      </w:r>
      <w:r w:rsidRPr="00851B6C">
        <w:rPr>
          <w:rFonts w:eastAsia="Calibri"/>
          <w:color w:val="000000"/>
          <w:sz w:val="20"/>
        </w:rPr>
        <w:t>rubber and plastics, no new registrations may be made</w:t>
      </w:r>
      <w:r>
        <w:rPr>
          <w:rFonts w:eastAsia="Calibri"/>
          <w:color w:val="000000"/>
          <w:sz w:val="20"/>
        </w:rPr>
        <w:t xml:space="preserve"> with regard to them</w:t>
      </w:r>
      <w:r w:rsidRPr="00851B6C">
        <w:rPr>
          <w:rFonts w:eastAsia="Calibri"/>
          <w:color w:val="000000"/>
          <w:sz w:val="20"/>
        </w:rPr>
        <w:t xml:space="preserve">, </w:t>
      </w:r>
    </w:p>
    <w:p w:rsidR="008B380A" w:rsidRPr="00851B6C" w:rsidRDefault="008B380A" w:rsidP="008B380A">
      <w:pPr>
        <w:tabs>
          <w:tab w:val="left" w:pos="624"/>
          <w:tab w:val="left" w:pos="1247"/>
        </w:tabs>
        <w:autoSpaceDE w:val="0"/>
        <w:autoSpaceDN w:val="0"/>
        <w:adjustRightInd w:val="0"/>
        <w:spacing w:after="120"/>
        <w:ind w:left="1247" w:firstLine="624"/>
        <w:rPr>
          <w:rFonts w:eastAsia="Calibri"/>
          <w:color w:val="000000"/>
          <w:sz w:val="13"/>
          <w:szCs w:val="13"/>
        </w:rPr>
      </w:pPr>
      <w:r w:rsidRPr="00851B6C">
        <w:rPr>
          <w:rFonts w:eastAsia="Calibri"/>
          <w:color w:val="000000"/>
          <w:sz w:val="20"/>
        </w:rPr>
        <w:t xml:space="preserve">1. </w:t>
      </w:r>
      <w:r w:rsidRPr="00851B6C">
        <w:rPr>
          <w:rFonts w:eastAsia="Calibri"/>
          <w:color w:val="000000"/>
          <w:sz w:val="20"/>
        </w:rPr>
        <w:tab/>
      </w:r>
      <w:r w:rsidRPr="00851B6C">
        <w:rPr>
          <w:rFonts w:eastAsia="Calibri"/>
          <w:i/>
          <w:iCs/>
          <w:color w:val="000000"/>
          <w:sz w:val="20"/>
        </w:rPr>
        <w:t xml:space="preserve">Welcomes </w:t>
      </w:r>
      <w:r w:rsidRPr="00851B6C">
        <w:rPr>
          <w:rFonts w:eastAsia="Calibri"/>
          <w:color w:val="000000"/>
          <w:sz w:val="20"/>
        </w:rPr>
        <w:t xml:space="preserve">the report on the assessment of alternatives to </w:t>
      </w:r>
      <w:proofErr w:type="spellStart"/>
      <w:r w:rsidRPr="00851B6C">
        <w:rPr>
          <w:rFonts w:eastAsia="Calibri"/>
          <w:color w:val="000000"/>
          <w:sz w:val="20"/>
        </w:rPr>
        <w:t>perfluorooctane</w:t>
      </w:r>
      <w:proofErr w:type="spellEnd"/>
      <w:r w:rsidRPr="00851B6C">
        <w:rPr>
          <w:rFonts w:eastAsia="Calibri"/>
          <w:color w:val="000000"/>
          <w:sz w:val="20"/>
        </w:rPr>
        <w:t xml:space="preserve"> </w:t>
      </w:r>
      <w:proofErr w:type="spellStart"/>
      <w:r w:rsidRPr="00851B6C">
        <w:rPr>
          <w:rFonts w:eastAsia="Calibri"/>
          <w:color w:val="000000"/>
          <w:sz w:val="20"/>
        </w:rPr>
        <w:t>sulfonic</w:t>
      </w:r>
      <w:proofErr w:type="spellEnd"/>
      <w:r w:rsidRPr="00851B6C">
        <w:rPr>
          <w:rFonts w:eastAsia="Calibri"/>
          <w:color w:val="000000"/>
          <w:sz w:val="20"/>
        </w:rPr>
        <w:t xml:space="preserve"> acid, its salts and </w:t>
      </w:r>
      <w:proofErr w:type="spellStart"/>
      <w:r w:rsidRPr="00851B6C">
        <w:rPr>
          <w:rFonts w:eastAsia="Calibri"/>
          <w:color w:val="000000"/>
          <w:sz w:val="20"/>
        </w:rPr>
        <w:t>perfluorooctane</w:t>
      </w:r>
      <w:proofErr w:type="spellEnd"/>
      <w:r w:rsidRPr="00851B6C">
        <w:rPr>
          <w:rFonts w:eastAsia="Calibri"/>
          <w:color w:val="000000"/>
          <w:sz w:val="20"/>
        </w:rPr>
        <w:t xml:space="preserve"> </w:t>
      </w:r>
      <w:proofErr w:type="spellStart"/>
      <w:r w:rsidRPr="00851B6C">
        <w:rPr>
          <w:rFonts w:eastAsia="Calibri"/>
          <w:color w:val="000000"/>
          <w:sz w:val="20"/>
        </w:rPr>
        <w:t>sulfonyl</w:t>
      </w:r>
      <w:proofErr w:type="spellEnd"/>
      <w:r w:rsidRPr="00851B6C">
        <w:rPr>
          <w:rFonts w:eastAsia="Calibri"/>
          <w:color w:val="000000"/>
          <w:sz w:val="20"/>
        </w:rPr>
        <w:t xml:space="preserve"> fluoride carried out by the Persistent Organic Pollutants Review Committee</w:t>
      </w:r>
      <w:r>
        <w:rPr>
          <w:rStyle w:val="FootnoteReference"/>
          <w:rFonts w:eastAsia="Calibri"/>
        </w:rPr>
        <w:footnoteReference w:id="1"/>
      </w:r>
      <w:r w:rsidRPr="00851B6C">
        <w:rPr>
          <w:rFonts w:eastAsia="Calibri"/>
          <w:color w:val="000000"/>
          <w:sz w:val="20"/>
        </w:rPr>
        <w:t xml:space="preserve"> and the report by the Secretariat</w:t>
      </w:r>
      <w:r>
        <w:rPr>
          <w:rStyle w:val="FootnoteReference"/>
          <w:rFonts w:eastAsia="Calibri"/>
        </w:rPr>
        <w:footnoteReference w:id="2"/>
      </w:r>
      <w:r w:rsidRPr="00851B6C">
        <w:rPr>
          <w:rFonts w:eastAsia="Calibri"/>
          <w:color w:val="000000"/>
          <w:sz w:val="20"/>
        </w:rPr>
        <w:t xml:space="preserve"> on the evaluation of the information on </w:t>
      </w:r>
      <w:proofErr w:type="spellStart"/>
      <w:r w:rsidRPr="00851B6C">
        <w:rPr>
          <w:rFonts w:eastAsia="Calibri"/>
          <w:color w:val="000000"/>
          <w:sz w:val="20"/>
        </w:rPr>
        <w:t>perfluorooctane</w:t>
      </w:r>
      <w:proofErr w:type="spellEnd"/>
      <w:r w:rsidRPr="00851B6C">
        <w:rPr>
          <w:rFonts w:eastAsia="Calibri"/>
          <w:color w:val="000000"/>
          <w:sz w:val="20"/>
        </w:rPr>
        <w:t xml:space="preserve"> </w:t>
      </w:r>
      <w:proofErr w:type="spellStart"/>
      <w:r w:rsidRPr="00851B6C">
        <w:rPr>
          <w:rFonts w:eastAsia="Calibri"/>
          <w:color w:val="000000"/>
          <w:sz w:val="20"/>
        </w:rPr>
        <w:t>sulfonic</w:t>
      </w:r>
      <w:proofErr w:type="spellEnd"/>
      <w:r w:rsidRPr="00851B6C">
        <w:rPr>
          <w:rFonts w:eastAsia="Calibri"/>
          <w:color w:val="000000"/>
          <w:sz w:val="20"/>
        </w:rPr>
        <w:t xml:space="preserve"> acid, its salts and </w:t>
      </w:r>
      <w:proofErr w:type="spellStart"/>
      <w:r w:rsidRPr="00851B6C">
        <w:rPr>
          <w:rFonts w:eastAsia="Calibri"/>
          <w:color w:val="000000"/>
          <w:sz w:val="20"/>
        </w:rPr>
        <w:t>perfluorooctane</w:t>
      </w:r>
      <w:proofErr w:type="spellEnd"/>
      <w:r w:rsidRPr="00851B6C">
        <w:rPr>
          <w:rFonts w:eastAsia="Calibri"/>
          <w:color w:val="000000"/>
          <w:sz w:val="20"/>
        </w:rPr>
        <w:t xml:space="preserve"> </w:t>
      </w:r>
      <w:proofErr w:type="spellStart"/>
      <w:r w:rsidRPr="00851B6C">
        <w:rPr>
          <w:rFonts w:eastAsia="Calibri"/>
          <w:color w:val="000000"/>
          <w:sz w:val="20"/>
        </w:rPr>
        <w:t>sulfonyl</w:t>
      </w:r>
      <w:proofErr w:type="spellEnd"/>
      <w:r w:rsidRPr="00851B6C">
        <w:rPr>
          <w:rFonts w:eastAsia="Calibri"/>
          <w:color w:val="000000"/>
          <w:sz w:val="20"/>
        </w:rPr>
        <w:t xml:space="preserve"> fluoride;</w:t>
      </w:r>
      <w:r w:rsidRPr="00851B6C">
        <w:rPr>
          <w:rFonts w:eastAsia="Calibri"/>
          <w:color w:val="000000"/>
          <w:sz w:val="13"/>
          <w:szCs w:val="13"/>
        </w:rPr>
        <w:t xml:space="preserve"> </w:t>
      </w:r>
    </w:p>
    <w:p w:rsidR="008B380A" w:rsidRPr="00851B6C" w:rsidRDefault="008B380A" w:rsidP="008B380A">
      <w:pPr>
        <w:tabs>
          <w:tab w:val="left" w:pos="624"/>
          <w:tab w:val="left" w:pos="1247"/>
        </w:tabs>
        <w:autoSpaceDE w:val="0"/>
        <w:autoSpaceDN w:val="0"/>
        <w:adjustRightInd w:val="0"/>
        <w:spacing w:after="120"/>
        <w:ind w:left="1247" w:firstLine="624"/>
        <w:rPr>
          <w:rFonts w:eastAsia="Calibri"/>
          <w:color w:val="000000"/>
          <w:sz w:val="13"/>
          <w:szCs w:val="13"/>
        </w:rPr>
      </w:pPr>
      <w:r w:rsidRPr="00851B6C">
        <w:rPr>
          <w:rFonts w:eastAsia="Calibri"/>
          <w:color w:val="000000"/>
          <w:sz w:val="20"/>
        </w:rPr>
        <w:t xml:space="preserve">2. </w:t>
      </w:r>
      <w:r w:rsidRPr="00851B6C">
        <w:rPr>
          <w:rFonts w:eastAsia="Calibri"/>
          <w:color w:val="000000"/>
          <w:sz w:val="20"/>
        </w:rPr>
        <w:tab/>
      </w:r>
      <w:r w:rsidRPr="00851B6C">
        <w:rPr>
          <w:rFonts w:eastAsia="Calibri"/>
          <w:i/>
          <w:iCs/>
          <w:color w:val="000000"/>
          <w:sz w:val="20"/>
        </w:rPr>
        <w:t xml:space="preserve">Takes note </w:t>
      </w:r>
      <w:r w:rsidRPr="00851B6C">
        <w:rPr>
          <w:rFonts w:eastAsia="Calibri"/>
          <w:color w:val="000000"/>
          <w:sz w:val="20"/>
        </w:rPr>
        <w:t>of the information provided by parties on their experiences in implementing the recommendations set out in the annex to decision POPRC-6/2</w:t>
      </w:r>
      <w:r>
        <w:rPr>
          <w:rStyle w:val="FootnoteReference"/>
          <w:rFonts w:eastAsia="Calibri"/>
        </w:rPr>
        <w:footnoteReference w:id="3"/>
      </w:r>
      <w:r w:rsidRPr="00851B6C">
        <w:rPr>
          <w:rFonts w:eastAsia="Calibri"/>
          <w:color w:val="000000"/>
          <w:sz w:val="13"/>
          <w:szCs w:val="13"/>
        </w:rPr>
        <w:t xml:space="preserve"> </w:t>
      </w:r>
      <w:r w:rsidRPr="00851B6C">
        <w:rPr>
          <w:rFonts w:eastAsia="Calibri"/>
          <w:color w:val="000000"/>
          <w:sz w:val="20"/>
        </w:rPr>
        <w:t>and the report by the Secretariat</w:t>
      </w:r>
      <w:r>
        <w:rPr>
          <w:rStyle w:val="FootnoteReference"/>
          <w:rFonts w:eastAsia="Calibri"/>
        </w:rPr>
        <w:footnoteReference w:id="4"/>
      </w:r>
      <w:r w:rsidRPr="00851B6C">
        <w:rPr>
          <w:rFonts w:eastAsia="Calibri"/>
          <w:color w:val="000000"/>
          <w:sz w:val="20"/>
        </w:rPr>
        <w:t xml:space="preserve"> on the main challenges encountered by parties in implementing the recommendations with </w:t>
      </w:r>
      <w:r>
        <w:rPr>
          <w:rFonts w:eastAsia="Calibri"/>
          <w:color w:val="000000"/>
          <w:sz w:val="20"/>
        </w:rPr>
        <w:t>regard</w:t>
      </w:r>
      <w:r w:rsidRPr="00851B6C">
        <w:rPr>
          <w:rFonts w:eastAsia="Calibri"/>
          <w:color w:val="000000"/>
          <w:sz w:val="20"/>
        </w:rPr>
        <w:t xml:space="preserve"> to </w:t>
      </w:r>
      <w:proofErr w:type="spellStart"/>
      <w:r w:rsidRPr="00851B6C">
        <w:rPr>
          <w:rFonts w:eastAsia="Calibri"/>
          <w:color w:val="000000"/>
          <w:sz w:val="20"/>
        </w:rPr>
        <w:t>perfluorooctane</w:t>
      </w:r>
      <w:proofErr w:type="spellEnd"/>
      <w:r w:rsidRPr="00851B6C">
        <w:rPr>
          <w:rFonts w:eastAsia="Calibri"/>
          <w:color w:val="000000"/>
          <w:sz w:val="20"/>
        </w:rPr>
        <w:t xml:space="preserve"> </w:t>
      </w:r>
      <w:proofErr w:type="spellStart"/>
      <w:r w:rsidRPr="00851B6C">
        <w:rPr>
          <w:rFonts w:eastAsia="Calibri"/>
          <w:color w:val="000000"/>
          <w:sz w:val="20"/>
        </w:rPr>
        <w:t>sulfonic</w:t>
      </w:r>
      <w:proofErr w:type="spellEnd"/>
      <w:r w:rsidRPr="00851B6C">
        <w:rPr>
          <w:rFonts w:eastAsia="Calibri"/>
          <w:color w:val="000000"/>
          <w:sz w:val="20"/>
        </w:rPr>
        <w:t xml:space="preserve"> acid, its salts and </w:t>
      </w:r>
      <w:proofErr w:type="spellStart"/>
      <w:r w:rsidRPr="00851B6C">
        <w:rPr>
          <w:rFonts w:eastAsia="Calibri"/>
          <w:color w:val="000000"/>
          <w:sz w:val="20"/>
        </w:rPr>
        <w:t>perfluorooctane</w:t>
      </w:r>
      <w:proofErr w:type="spellEnd"/>
      <w:r w:rsidRPr="00851B6C">
        <w:rPr>
          <w:rFonts w:eastAsia="Calibri"/>
          <w:color w:val="000000"/>
          <w:sz w:val="20"/>
        </w:rPr>
        <w:t xml:space="preserve"> </w:t>
      </w:r>
      <w:proofErr w:type="spellStart"/>
      <w:r w:rsidRPr="00851B6C">
        <w:rPr>
          <w:rFonts w:eastAsia="Calibri"/>
          <w:color w:val="000000"/>
          <w:sz w:val="20"/>
        </w:rPr>
        <w:t>sulfonyl</w:t>
      </w:r>
      <w:proofErr w:type="spellEnd"/>
      <w:r w:rsidRPr="00851B6C">
        <w:rPr>
          <w:rFonts w:eastAsia="Calibri"/>
          <w:color w:val="000000"/>
          <w:sz w:val="20"/>
        </w:rPr>
        <w:t xml:space="preserve"> fluoride;</w:t>
      </w:r>
      <w:r w:rsidRPr="00851B6C">
        <w:rPr>
          <w:rFonts w:eastAsia="Calibri"/>
          <w:color w:val="000000"/>
          <w:sz w:val="13"/>
          <w:szCs w:val="13"/>
        </w:rPr>
        <w:t xml:space="preserve"> </w:t>
      </w:r>
    </w:p>
    <w:p w:rsidR="008B380A" w:rsidRPr="00851B6C" w:rsidRDefault="008B380A" w:rsidP="008B380A">
      <w:pPr>
        <w:tabs>
          <w:tab w:val="left" w:pos="624"/>
          <w:tab w:val="left" w:pos="1247"/>
        </w:tabs>
        <w:autoSpaceDE w:val="0"/>
        <w:autoSpaceDN w:val="0"/>
        <w:adjustRightInd w:val="0"/>
        <w:spacing w:after="120"/>
        <w:ind w:left="1247" w:firstLine="624"/>
        <w:rPr>
          <w:rFonts w:eastAsia="Calibri"/>
          <w:color w:val="000000"/>
          <w:sz w:val="20"/>
        </w:rPr>
      </w:pPr>
      <w:r w:rsidRPr="00851B6C">
        <w:rPr>
          <w:rFonts w:eastAsia="Calibri"/>
          <w:color w:val="000000"/>
          <w:sz w:val="20"/>
        </w:rPr>
        <w:t xml:space="preserve">3. </w:t>
      </w:r>
      <w:r w:rsidRPr="00851B6C">
        <w:rPr>
          <w:rFonts w:eastAsia="Calibri"/>
          <w:color w:val="000000"/>
          <w:sz w:val="20"/>
        </w:rPr>
        <w:tab/>
      </w:r>
      <w:r w:rsidRPr="00851B6C">
        <w:rPr>
          <w:rFonts w:eastAsia="Calibri"/>
          <w:i/>
          <w:iCs/>
          <w:color w:val="000000"/>
          <w:sz w:val="20"/>
        </w:rPr>
        <w:t xml:space="preserve">Concludes </w:t>
      </w:r>
      <w:r w:rsidRPr="00851B6C">
        <w:rPr>
          <w:rFonts w:eastAsia="Calibri"/>
          <w:color w:val="000000"/>
          <w:sz w:val="20"/>
        </w:rPr>
        <w:t xml:space="preserve">that parties may need to continue to produce and/or use </w:t>
      </w:r>
      <w:proofErr w:type="spellStart"/>
      <w:r w:rsidRPr="00851B6C">
        <w:rPr>
          <w:rFonts w:eastAsia="Calibri"/>
          <w:color w:val="000000"/>
          <w:sz w:val="20"/>
        </w:rPr>
        <w:t>perfluorooctane</w:t>
      </w:r>
      <w:proofErr w:type="spellEnd"/>
      <w:r w:rsidRPr="00851B6C">
        <w:rPr>
          <w:rFonts w:eastAsia="Calibri"/>
          <w:color w:val="000000"/>
          <w:sz w:val="20"/>
        </w:rPr>
        <w:t xml:space="preserve"> </w:t>
      </w:r>
      <w:proofErr w:type="spellStart"/>
      <w:r w:rsidRPr="00851B6C">
        <w:rPr>
          <w:rFonts w:eastAsia="Calibri"/>
          <w:color w:val="000000"/>
          <w:sz w:val="20"/>
        </w:rPr>
        <w:t>sulfonic</w:t>
      </w:r>
      <w:proofErr w:type="spellEnd"/>
      <w:r w:rsidRPr="00851B6C">
        <w:rPr>
          <w:rFonts w:eastAsia="Calibri"/>
          <w:color w:val="000000"/>
          <w:sz w:val="20"/>
        </w:rPr>
        <w:t xml:space="preserve"> acid, its salts and </w:t>
      </w:r>
      <w:proofErr w:type="spellStart"/>
      <w:r w:rsidRPr="00851B6C">
        <w:rPr>
          <w:rFonts w:eastAsia="Calibri"/>
          <w:color w:val="000000"/>
          <w:sz w:val="20"/>
        </w:rPr>
        <w:t>perfluorooctane</w:t>
      </w:r>
      <w:proofErr w:type="spellEnd"/>
      <w:r w:rsidRPr="00851B6C">
        <w:rPr>
          <w:rFonts w:eastAsia="Calibri"/>
          <w:color w:val="000000"/>
          <w:sz w:val="20"/>
        </w:rPr>
        <w:t xml:space="preserve"> </w:t>
      </w:r>
      <w:proofErr w:type="spellStart"/>
      <w:r w:rsidRPr="00851B6C">
        <w:rPr>
          <w:rFonts w:eastAsia="Calibri"/>
          <w:color w:val="000000"/>
          <w:sz w:val="20"/>
        </w:rPr>
        <w:t>sulfonyl</w:t>
      </w:r>
      <w:proofErr w:type="spellEnd"/>
      <w:r w:rsidRPr="00851B6C">
        <w:rPr>
          <w:rFonts w:eastAsia="Calibri"/>
          <w:color w:val="000000"/>
          <w:sz w:val="20"/>
        </w:rPr>
        <w:t xml:space="preserve"> fluoride for acceptable purposes as provided in Annex B to the Convention and consequently need to notify the Secretariat of their intention to produce and/or use th</w:t>
      </w:r>
      <w:r>
        <w:rPr>
          <w:rFonts w:eastAsia="Calibri"/>
          <w:color w:val="000000"/>
          <w:sz w:val="20"/>
        </w:rPr>
        <w:t>ose chemicals</w:t>
      </w:r>
      <w:r w:rsidRPr="00851B6C">
        <w:rPr>
          <w:rFonts w:eastAsia="Calibri"/>
          <w:color w:val="000000"/>
          <w:sz w:val="20"/>
        </w:rPr>
        <w:t xml:space="preserve"> for those purposes; </w:t>
      </w:r>
    </w:p>
    <w:p w:rsidR="008B380A" w:rsidRPr="00851B6C" w:rsidRDefault="008B380A" w:rsidP="008B380A">
      <w:pPr>
        <w:tabs>
          <w:tab w:val="left" w:pos="624"/>
          <w:tab w:val="left" w:pos="1247"/>
        </w:tabs>
        <w:autoSpaceDE w:val="0"/>
        <w:autoSpaceDN w:val="0"/>
        <w:adjustRightInd w:val="0"/>
        <w:spacing w:after="120"/>
        <w:ind w:left="1247" w:firstLine="624"/>
        <w:rPr>
          <w:rFonts w:eastAsia="Cambria"/>
          <w:sz w:val="20"/>
          <w:szCs w:val="22"/>
          <w:lang w:val="en-IE"/>
        </w:rPr>
      </w:pPr>
      <w:r w:rsidRPr="00851B6C">
        <w:rPr>
          <w:rFonts w:eastAsia="Cambria"/>
          <w:sz w:val="20"/>
          <w:szCs w:val="22"/>
          <w:lang w:val="en-IE"/>
        </w:rPr>
        <w:t>4.</w:t>
      </w:r>
      <w:r w:rsidRPr="00851B6C">
        <w:rPr>
          <w:rFonts w:eastAsia="Cambria"/>
          <w:sz w:val="20"/>
          <w:szCs w:val="22"/>
          <w:lang w:val="en-IE"/>
        </w:rPr>
        <w:tab/>
      </w:r>
      <w:r w:rsidRPr="00851B6C">
        <w:rPr>
          <w:rFonts w:eastAsia="Cambria"/>
          <w:i/>
          <w:sz w:val="20"/>
          <w:szCs w:val="22"/>
          <w:lang w:val="en-IE"/>
        </w:rPr>
        <w:t xml:space="preserve">Encourages </w:t>
      </w:r>
      <w:r w:rsidRPr="00851B6C">
        <w:rPr>
          <w:rFonts w:eastAsia="Cambria"/>
          <w:sz w:val="20"/>
          <w:szCs w:val="22"/>
          <w:lang w:val="en-IE"/>
        </w:rPr>
        <w:t xml:space="preserve">parties to consider, on the basis of information and the availability of alternatives, withdrawing their names from the register of acceptable purposes for production and use of </w:t>
      </w:r>
      <w:proofErr w:type="spellStart"/>
      <w:r w:rsidRPr="00851B6C">
        <w:rPr>
          <w:rFonts w:eastAsia="Calibri"/>
          <w:color w:val="000000"/>
          <w:sz w:val="20"/>
        </w:rPr>
        <w:t>perfluorooctane</w:t>
      </w:r>
      <w:proofErr w:type="spellEnd"/>
      <w:r w:rsidRPr="00851B6C">
        <w:rPr>
          <w:rFonts w:eastAsia="Calibri"/>
          <w:color w:val="000000"/>
          <w:sz w:val="20"/>
        </w:rPr>
        <w:t xml:space="preserve"> </w:t>
      </w:r>
      <w:proofErr w:type="spellStart"/>
      <w:r w:rsidRPr="00851B6C">
        <w:rPr>
          <w:rFonts w:eastAsia="Calibri"/>
          <w:color w:val="000000"/>
          <w:sz w:val="20"/>
        </w:rPr>
        <w:t>sulfonic</w:t>
      </w:r>
      <w:proofErr w:type="spellEnd"/>
      <w:r w:rsidRPr="00851B6C">
        <w:rPr>
          <w:rFonts w:eastAsia="Calibri"/>
          <w:color w:val="000000"/>
          <w:sz w:val="20"/>
        </w:rPr>
        <w:t xml:space="preserve"> acid, its salts and </w:t>
      </w:r>
      <w:proofErr w:type="spellStart"/>
      <w:r w:rsidRPr="00851B6C">
        <w:rPr>
          <w:rFonts w:eastAsia="Calibri"/>
          <w:color w:val="000000"/>
          <w:sz w:val="20"/>
        </w:rPr>
        <w:t>perfluorooctane</w:t>
      </w:r>
      <w:proofErr w:type="spellEnd"/>
      <w:r w:rsidRPr="00851B6C">
        <w:rPr>
          <w:rFonts w:eastAsia="Calibri"/>
          <w:color w:val="000000"/>
          <w:sz w:val="20"/>
        </w:rPr>
        <w:t xml:space="preserve"> </w:t>
      </w:r>
      <w:proofErr w:type="spellStart"/>
      <w:r w:rsidRPr="00851B6C">
        <w:rPr>
          <w:rFonts w:eastAsia="Calibri"/>
          <w:color w:val="000000"/>
          <w:sz w:val="20"/>
        </w:rPr>
        <w:t>sulfonyl</w:t>
      </w:r>
      <w:proofErr w:type="spellEnd"/>
      <w:r w:rsidRPr="00851B6C">
        <w:rPr>
          <w:rFonts w:eastAsia="Calibri"/>
          <w:color w:val="000000"/>
          <w:sz w:val="20"/>
        </w:rPr>
        <w:t xml:space="preserve"> fluoride</w:t>
      </w:r>
      <w:r>
        <w:rPr>
          <w:rFonts w:eastAsia="Calibri"/>
          <w:color w:val="000000"/>
          <w:sz w:val="20"/>
        </w:rPr>
        <w:t xml:space="preserve"> , noting,</w:t>
      </w:r>
      <w:r w:rsidRPr="005526F9">
        <w:rPr>
          <w:rFonts w:eastAsia="Cambria"/>
          <w:sz w:val="20"/>
          <w:lang w:val="en-IE"/>
        </w:rPr>
        <w:t xml:space="preserve"> however</w:t>
      </w:r>
      <w:r>
        <w:rPr>
          <w:rFonts w:eastAsia="Cambria"/>
          <w:sz w:val="20"/>
          <w:lang w:val="en-IE"/>
        </w:rPr>
        <w:t>,</w:t>
      </w:r>
      <w:r w:rsidRPr="005526F9">
        <w:rPr>
          <w:rFonts w:eastAsia="Cambria"/>
          <w:sz w:val="20"/>
          <w:lang w:val="en-IE"/>
        </w:rPr>
        <w:t xml:space="preserve"> </w:t>
      </w:r>
      <w:r>
        <w:rPr>
          <w:rFonts w:eastAsia="Cambria"/>
          <w:sz w:val="20"/>
          <w:lang w:val="en-IE"/>
        </w:rPr>
        <w:t xml:space="preserve">that </w:t>
      </w:r>
      <w:r w:rsidRPr="005526F9">
        <w:rPr>
          <w:rFonts w:eastAsia="Cambria"/>
          <w:sz w:val="20"/>
          <w:lang w:val="en-IE"/>
        </w:rPr>
        <w:t>substitution under “acceptable purpose</w:t>
      </w:r>
      <w:r>
        <w:rPr>
          <w:rFonts w:eastAsia="Cambria"/>
          <w:sz w:val="20"/>
          <w:lang w:val="en-IE"/>
        </w:rPr>
        <w:t>s</w:t>
      </w:r>
      <w:r w:rsidRPr="005526F9">
        <w:rPr>
          <w:rFonts w:eastAsia="Cambria"/>
          <w:sz w:val="20"/>
          <w:lang w:val="en-IE"/>
        </w:rPr>
        <w:t xml:space="preserve">” </w:t>
      </w:r>
      <w:r>
        <w:rPr>
          <w:rFonts w:eastAsia="Cambria"/>
          <w:sz w:val="20"/>
          <w:lang w:val="en-IE"/>
        </w:rPr>
        <w:t xml:space="preserve">with regard to </w:t>
      </w:r>
      <w:r w:rsidRPr="005526F9">
        <w:rPr>
          <w:rFonts w:eastAsia="Cambria"/>
          <w:sz w:val="20"/>
          <w:lang w:val="en-IE"/>
        </w:rPr>
        <w:t>fire</w:t>
      </w:r>
      <w:r>
        <w:rPr>
          <w:rFonts w:eastAsia="Cambria"/>
          <w:sz w:val="20"/>
          <w:lang w:val="en-IE"/>
        </w:rPr>
        <w:t>-</w:t>
      </w:r>
      <w:r w:rsidRPr="005526F9">
        <w:rPr>
          <w:rFonts w:eastAsia="Cambria"/>
          <w:sz w:val="20"/>
          <w:lang w:val="en-IE"/>
        </w:rPr>
        <w:t xml:space="preserve">fighting </w:t>
      </w:r>
      <w:r>
        <w:rPr>
          <w:rFonts w:eastAsia="Cambria"/>
          <w:sz w:val="20"/>
          <w:lang w:val="en-IE"/>
        </w:rPr>
        <w:t>foam</w:t>
      </w:r>
      <w:r w:rsidRPr="005526F9">
        <w:rPr>
          <w:rFonts w:eastAsia="Cambria"/>
          <w:sz w:val="20"/>
          <w:lang w:val="en-IE"/>
        </w:rPr>
        <w:t xml:space="preserve"> may be considered after </w:t>
      </w:r>
      <w:r>
        <w:rPr>
          <w:rFonts w:eastAsia="Cambria"/>
          <w:sz w:val="20"/>
          <w:lang w:val="en-IE"/>
        </w:rPr>
        <w:t xml:space="preserve">carrying out </w:t>
      </w:r>
      <w:r w:rsidRPr="005526F9">
        <w:rPr>
          <w:rFonts w:eastAsia="Cambria"/>
          <w:sz w:val="20"/>
          <w:lang w:val="en-IE"/>
        </w:rPr>
        <w:t>techno-</w:t>
      </w:r>
      <w:r>
        <w:rPr>
          <w:rFonts w:eastAsia="Cambria"/>
          <w:sz w:val="20"/>
          <w:lang w:val="en-IE"/>
        </w:rPr>
        <w:t>economical</w:t>
      </w:r>
      <w:r w:rsidRPr="005526F9">
        <w:rPr>
          <w:rFonts w:eastAsia="Cambria"/>
          <w:sz w:val="20"/>
          <w:lang w:val="en-IE"/>
        </w:rPr>
        <w:t xml:space="preserve"> viability assessment and ensuring functionality in </w:t>
      </w:r>
      <w:r>
        <w:rPr>
          <w:rFonts w:eastAsia="Cambria"/>
          <w:sz w:val="20"/>
          <w:lang w:val="en-IE"/>
        </w:rPr>
        <w:t>various</w:t>
      </w:r>
      <w:r w:rsidRPr="005526F9">
        <w:rPr>
          <w:rFonts w:eastAsia="Cambria"/>
          <w:sz w:val="20"/>
          <w:lang w:val="en-IE"/>
        </w:rPr>
        <w:t xml:space="preserve"> geo-climatic conditions;</w:t>
      </w:r>
      <w:r>
        <w:rPr>
          <w:rFonts w:eastAsia="Cambria"/>
          <w:sz w:val="20"/>
          <w:szCs w:val="22"/>
          <w:lang w:val="en-IE"/>
        </w:rPr>
        <w:t xml:space="preserve"> </w:t>
      </w:r>
    </w:p>
    <w:p w:rsidR="008B380A" w:rsidRPr="00851B6C" w:rsidRDefault="008B380A" w:rsidP="008B380A">
      <w:pPr>
        <w:tabs>
          <w:tab w:val="left" w:pos="624"/>
          <w:tab w:val="left" w:pos="1247"/>
        </w:tabs>
        <w:spacing w:after="120"/>
        <w:ind w:left="1247" w:firstLine="624"/>
        <w:rPr>
          <w:sz w:val="20"/>
        </w:rPr>
      </w:pPr>
      <w:r w:rsidRPr="00851B6C">
        <w:rPr>
          <w:sz w:val="20"/>
        </w:rPr>
        <w:t>5.</w:t>
      </w:r>
      <w:r w:rsidRPr="00851B6C">
        <w:rPr>
          <w:sz w:val="20"/>
        </w:rPr>
        <w:tab/>
      </w:r>
      <w:r w:rsidRPr="00851B6C">
        <w:rPr>
          <w:i/>
          <w:sz w:val="20"/>
        </w:rPr>
        <w:t>Congratulates</w:t>
      </w:r>
      <w:r w:rsidRPr="00851B6C">
        <w:rPr>
          <w:sz w:val="20"/>
        </w:rPr>
        <w:t xml:space="preserve"> all parties that have eliminated the need for specific exemptions and </w:t>
      </w:r>
      <w:r>
        <w:rPr>
          <w:sz w:val="20"/>
        </w:rPr>
        <w:t>all</w:t>
      </w:r>
      <w:r w:rsidRPr="00851B6C">
        <w:rPr>
          <w:sz w:val="20"/>
        </w:rPr>
        <w:t xml:space="preserve"> parties that have ratified the amendment to Annex B to the Stockholm Convention list</w:t>
      </w:r>
      <w:r>
        <w:rPr>
          <w:sz w:val="20"/>
        </w:rPr>
        <w:t>ing</w:t>
      </w:r>
      <w:r w:rsidRPr="00851B6C">
        <w:rPr>
          <w:sz w:val="20"/>
        </w:rPr>
        <w:t xml:space="preserve"> </w:t>
      </w:r>
      <w:proofErr w:type="spellStart"/>
      <w:r w:rsidRPr="00851B6C">
        <w:rPr>
          <w:sz w:val="20"/>
        </w:rPr>
        <w:t>perfluorooctane</w:t>
      </w:r>
      <w:proofErr w:type="spellEnd"/>
      <w:r w:rsidRPr="00851B6C">
        <w:rPr>
          <w:sz w:val="20"/>
        </w:rPr>
        <w:t xml:space="preserve"> </w:t>
      </w:r>
      <w:proofErr w:type="spellStart"/>
      <w:r w:rsidRPr="00851B6C">
        <w:rPr>
          <w:sz w:val="20"/>
        </w:rPr>
        <w:t>sulfonic</w:t>
      </w:r>
      <w:proofErr w:type="spellEnd"/>
      <w:r w:rsidRPr="00851B6C">
        <w:rPr>
          <w:sz w:val="20"/>
        </w:rPr>
        <w:t xml:space="preserve"> acid, its salts and </w:t>
      </w:r>
      <w:proofErr w:type="spellStart"/>
      <w:r w:rsidRPr="00851B6C">
        <w:rPr>
          <w:sz w:val="20"/>
        </w:rPr>
        <w:t>perfluorooctane</w:t>
      </w:r>
      <w:proofErr w:type="spellEnd"/>
      <w:r w:rsidRPr="00851B6C">
        <w:rPr>
          <w:sz w:val="20"/>
        </w:rPr>
        <w:t xml:space="preserve"> </w:t>
      </w:r>
      <w:proofErr w:type="spellStart"/>
      <w:r w:rsidRPr="00851B6C">
        <w:rPr>
          <w:sz w:val="20"/>
        </w:rPr>
        <w:t>sulfonyl</w:t>
      </w:r>
      <w:proofErr w:type="spellEnd"/>
      <w:r w:rsidRPr="00851B6C">
        <w:rPr>
          <w:sz w:val="20"/>
        </w:rPr>
        <w:t xml:space="preserve"> fluoride</w:t>
      </w:r>
      <w:r>
        <w:rPr>
          <w:sz w:val="20"/>
        </w:rPr>
        <w:t xml:space="preserve"> in that annex</w:t>
      </w:r>
      <w:r w:rsidRPr="00851B6C">
        <w:rPr>
          <w:sz w:val="20"/>
        </w:rPr>
        <w:t>;</w:t>
      </w:r>
      <w:r w:rsidRPr="00851B6C">
        <w:rPr>
          <w:sz w:val="20"/>
          <w:vertAlign w:val="superscript"/>
        </w:rPr>
        <w:footnoteReference w:id="5"/>
      </w:r>
      <w:r>
        <w:rPr>
          <w:sz w:val="20"/>
        </w:rPr>
        <w:t xml:space="preserve"> </w:t>
      </w:r>
    </w:p>
    <w:p w:rsidR="008B380A" w:rsidRPr="00851B6C" w:rsidRDefault="008B380A" w:rsidP="008B380A">
      <w:pPr>
        <w:tabs>
          <w:tab w:val="left" w:pos="624"/>
          <w:tab w:val="left" w:pos="1247"/>
        </w:tabs>
        <w:autoSpaceDE w:val="0"/>
        <w:autoSpaceDN w:val="0"/>
        <w:adjustRightInd w:val="0"/>
        <w:spacing w:after="120"/>
        <w:ind w:left="1247" w:firstLine="624"/>
        <w:rPr>
          <w:iCs/>
          <w:sz w:val="20"/>
        </w:rPr>
      </w:pPr>
      <w:r w:rsidRPr="00851B6C">
        <w:rPr>
          <w:iCs/>
          <w:sz w:val="20"/>
        </w:rPr>
        <w:t>6.</w:t>
      </w:r>
      <w:r w:rsidRPr="00851B6C">
        <w:rPr>
          <w:iCs/>
          <w:sz w:val="20"/>
        </w:rPr>
        <w:tab/>
      </w:r>
      <w:r w:rsidRPr="00851B6C">
        <w:rPr>
          <w:i/>
          <w:iCs/>
          <w:sz w:val="20"/>
        </w:rPr>
        <w:t>Requests,</w:t>
      </w:r>
      <w:r w:rsidRPr="00851B6C">
        <w:rPr>
          <w:iCs/>
          <w:sz w:val="20"/>
        </w:rPr>
        <w:t xml:space="preserve"> with a view </w:t>
      </w:r>
      <w:r w:rsidRPr="00851B6C">
        <w:rPr>
          <w:sz w:val="20"/>
        </w:rPr>
        <w:t xml:space="preserve">to avoiding duplication, </w:t>
      </w:r>
      <w:r w:rsidRPr="00851B6C">
        <w:rPr>
          <w:iCs/>
          <w:sz w:val="20"/>
        </w:rPr>
        <w:t xml:space="preserve">the Persistent Organic Pollutants Review Committee and the experts on best available techniques and best environmental practices to exchange information, consult and consider </w:t>
      </w:r>
      <w:r w:rsidRPr="00C15C4F">
        <w:rPr>
          <w:iCs/>
          <w:sz w:val="20"/>
        </w:rPr>
        <w:t xml:space="preserve">each other’s work on </w:t>
      </w:r>
      <w:proofErr w:type="spellStart"/>
      <w:r w:rsidRPr="00C15C4F">
        <w:rPr>
          <w:sz w:val="20"/>
        </w:rPr>
        <w:t>perfluorooctane</w:t>
      </w:r>
      <w:proofErr w:type="spellEnd"/>
      <w:r w:rsidRPr="00C15C4F">
        <w:rPr>
          <w:sz w:val="20"/>
        </w:rPr>
        <w:t xml:space="preserve"> </w:t>
      </w:r>
      <w:proofErr w:type="spellStart"/>
      <w:r w:rsidRPr="00C15C4F">
        <w:rPr>
          <w:sz w:val="20"/>
        </w:rPr>
        <w:t>sulfonic</w:t>
      </w:r>
      <w:proofErr w:type="spellEnd"/>
      <w:r w:rsidRPr="00C15C4F">
        <w:rPr>
          <w:sz w:val="20"/>
        </w:rPr>
        <w:t xml:space="preserve"> acid, its salts and </w:t>
      </w:r>
      <w:proofErr w:type="spellStart"/>
      <w:r w:rsidRPr="00C15C4F">
        <w:rPr>
          <w:sz w:val="20"/>
        </w:rPr>
        <w:t>perfluorooctane</w:t>
      </w:r>
      <w:proofErr w:type="spellEnd"/>
      <w:r w:rsidRPr="00C15C4F">
        <w:rPr>
          <w:sz w:val="20"/>
        </w:rPr>
        <w:t xml:space="preserve"> </w:t>
      </w:r>
      <w:proofErr w:type="spellStart"/>
      <w:r w:rsidRPr="00C15C4F">
        <w:rPr>
          <w:sz w:val="20"/>
        </w:rPr>
        <w:t>sulfonyl</w:t>
      </w:r>
      <w:proofErr w:type="spellEnd"/>
      <w:r w:rsidRPr="00C15C4F">
        <w:rPr>
          <w:sz w:val="20"/>
        </w:rPr>
        <w:t xml:space="preserve"> fluoride</w:t>
      </w:r>
      <w:r w:rsidRPr="00C15C4F">
        <w:rPr>
          <w:iCs/>
          <w:sz w:val="20"/>
        </w:rPr>
        <w:t xml:space="preserve"> when the Committee undertakes the assessment of alternatives to </w:t>
      </w:r>
      <w:proofErr w:type="spellStart"/>
      <w:r w:rsidRPr="00C15C4F">
        <w:rPr>
          <w:sz w:val="20"/>
        </w:rPr>
        <w:t>perfluorooctane</w:t>
      </w:r>
      <w:proofErr w:type="spellEnd"/>
      <w:r w:rsidRPr="00C15C4F">
        <w:rPr>
          <w:sz w:val="20"/>
        </w:rPr>
        <w:t xml:space="preserve"> </w:t>
      </w:r>
      <w:proofErr w:type="spellStart"/>
      <w:r w:rsidRPr="00C15C4F">
        <w:rPr>
          <w:sz w:val="20"/>
        </w:rPr>
        <w:t>sulfonic</w:t>
      </w:r>
      <w:proofErr w:type="spellEnd"/>
      <w:r w:rsidRPr="00C15C4F">
        <w:rPr>
          <w:sz w:val="20"/>
        </w:rPr>
        <w:t xml:space="preserve"> acid, its salts and </w:t>
      </w:r>
      <w:proofErr w:type="spellStart"/>
      <w:r w:rsidRPr="00C15C4F">
        <w:rPr>
          <w:sz w:val="20"/>
        </w:rPr>
        <w:t>perfluorooctane</w:t>
      </w:r>
      <w:proofErr w:type="spellEnd"/>
      <w:r w:rsidRPr="00C15C4F">
        <w:rPr>
          <w:sz w:val="20"/>
        </w:rPr>
        <w:t xml:space="preserve"> </w:t>
      </w:r>
      <w:proofErr w:type="spellStart"/>
      <w:r w:rsidRPr="00C15C4F">
        <w:rPr>
          <w:sz w:val="20"/>
        </w:rPr>
        <w:t>sulfonyl</w:t>
      </w:r>
      <w:proofErr w:type="spellEnd"/>
      <w:r w:rsidRPr="00C15C4F">
        <w:rPr>
          <w:sz w:val="20"/>
        </w:rPr>
        <w:t xml:space="preserve"> fluoride</w:t>
      </w:r>
      <w:r w:rsidRPr="00C15C4F">
        <w:rPr>
          <w:iCs/>
          <w:sz w:val="20"/>
        </w:rPr>
        <w:t>;</w:t>
      </w:r>
    </w:p>
    <w:p w:rsidR="008B380A" w:rsidRPr="00851B6C" w:rsidRDefault="008B380A" w:rsidP="008B380A">
      <w:pPr>
        <w:tabs>
          <w:tab w:val="left" w:pos="624"/>
          <w:tab w:val="left" w:pos="1247"/>
        </w:tabs>
        <w:autoSpaceDE w:val="0"/>
        <w:autoSpaceDN w:val="0"/>
        <w:adjustRightInd w:val="0"/>
        <w:spacing w:after="120"/>
        <w:ind w:left="1247" w:firstLine="624"/>
        <w:rPr>
          <w:rFonts w:eastAsia="Calibri"/>
          <w:color w:val="000000"/>
          <w:sz w:val="20"/>
        </w:rPr>
      </w:pPr>
      <w:r w:rsidRPr="00851B6C">
        <w:rPr>
          <w:rFonts w:eastAsia="Calibri"/>
          <w:color w:val="000000"/>
          <w:sz w:val="20"/>
        </w:rPr>
        <w:t>7.</w:t>
      </w:r>
      <w:r w:rsidRPr="00851B6C">
        <w:rPr>
          <w:rFonts w:eastAsia="Calibri"/>
          <w:color w:val="000000"/>
          <w:sz w:val="20"/>
        </w:rPr>
        <w:tab/>
      </w:r>
      <w:r w:rsidRPr="00851B6C">
        <w:rPr>
          <w:rFonts w:eastAsia="Calibri"/>
          <w:i/>
          <w:iCs/>
          <w:color w:val="000000"/>
          <w:sz w:val="20"/>
        </w:rPr>
        <w:t xml:space="preserve">Decides </w:t>
      </w:r>
      <w:r w:rsidRPr="00851B6C">
        <w:rPr>
          <w:rFonts w:eastAsia="Calibri"/>
          <w:color w:val="000000"/>
          <w:sz w:val="20"/>
        </w:rPr>
        <w:t xml:space="preserve">to amend the schedule </w:t>
      </w:r>
      <w:r>
        <w:rPr>
          <w:rFonts w:eastAsia="Calibri"/>
          <w:color w:val="000000"/>
          <w:sz w:val="20"/>
        </w:rPr>
        <w:t>for</w:t>
      </w:r>
      <w:r w:rsidRPr="00851B6C">
        <w:rPr>
          <w:rFonts w:eastAsia="Calibri"/>
          <w:color w:val="000000"/>
          <w:sz w:val="20"/>
        </w:rPr>
        <w:t xml:space="preserve"> the process for the evaluation of </w:t>
      </w:r>
      <w:proofErr w:type="spellStart"/>
      <w:r w:rsidRPr="00851B6C">
        <w:rPr>
          <w:rFonts w:eastAsia="Calibri"/>
          <w:color w:val="000000"/>
          <w:sz w:val="20"/>
        </w:rPr>
        <w:t>perfluorooctane</w:t>
      </w:r>
      <w:proofErr w:type="spellEnd"/>
      <w:r w:rsidRPr="00851B6C">
        <w:rPr>
          <w:rFonts w:eastAsia="Calibri"/>
          <w:color w:val="000000"/>
          <w:sz w:val="20"/>
        </w:rPr>
        <w:t xml:space="preserve"> </w:t>
      </w:r>
      <w:proofErr w:type="spellStart"/>
      <w:r w:rsidRPr="00851B6C">
        <w:rPr>
          <w:rFonts w:eastAsia="Calibri"/>
          <w:color w:val="000000"/>
          <w:sz w:val="20"/>
        </w:rPr>
        <w:t>sulfonic</w:t>
      </w:r>
      <w:proofErr w:type="spellEnd"/>
      <w:r w:rsidRPr="00851B6C">
        <w:rPr>
          <w:rFonts w:eastAsia="Calibri"/>
          <w:color w:val="000000"/>
          <w:sz w:val="20"/>
        </w:rPr>
        <w:t xml:space="preserve"> acid, its salts and </w:t>
      </w:r>
      <w:proofErr w:type="spellStart"/>
      <w:r w:rsidRPr="00851B6C">
        <w:rPr>
          <w:rFonts w:eastAsia="Calibri"/>
          <w:color w:val="000000"/>
          <w:sz w:val="20"/>
        </w:rPr>
        <w:t>perfluorooctane</w:t>
      </w:r>
      <w:proofErr w:type="spellEnd"/>
      <w:r w:rsidRPr="00851B6C">
        <w:rPr>
          <w:rFonts w:eastAsia="Calibri"/>
          <w:color w:val="000000"/>
          <w:sz w:val="20"/>
        </w:rPr>
        <w:t xml:space="preserve"> </w:t>
      </w:r>
      <w:proofErr w:type="spellStart"/>
      <w:r w:rsidRPr="00851B6C">
        <w:rPr>
          <w:rFonts w:eastAsia="Calibri"/>
          <w:color w:val="000000"/>
          <w:sz w:val="20"/>
        </w:rPr>
        <w:t>sulfonyl</w:t>
      </w:r>
      <w:proofErr w:type="spellEnd"/>
      <w:r w:rsidRPr="00851B6C">
        <w:rPr>
          <w:rFonts w:eastAsia="Calibri"/>
          <w:color w:val="000000"/>
          <w:sz w:val="20"/>
        </w:rPr>
        <w:t xml:space="preserve"> fluoride</w:t>
      </w:r>
      <w:r w:rsidRPr="00851B6C" w:rsidDel="001118B8">
        <w:rPr>
          <w:rFonts w:eastAsia="Calibri"/>
          <w:color w:val="000000"/>
          <w:sz w:val="20"/>
        </w:rPr>
        <w:t xml:space="preserve"> </w:t>
      </w:r>
      <w:r w:rsidRPr="00851B6C">
        <w:rPr>
          <w:rFonts w:eastAsia="Calibri"/>
          <w:color w:val="000000"/>
          <w:sz w:val="20"/>
        </w:rPr>
        <w:t>pursuant to paragraphs 5 and 6 of part III of Annex B to the Convention set out in the annex to decision SC-6/4 by adopting the schedule set out in the annex to the present decision</w:t>
      </w:r>
      <w:r w:rsidRPr="00851B6C">
        <w:rPr>
          <w:rFonts w:eastAsia="Calibri"/>
          <w:color w:val="000000"/>
          <w:sz w:val="13"/>
          <w:szCs w:val="13"/>
        </w:rPr>
        <w:t xml:space="preserve"> </w:t>
      </w:r>
      <w:r w:rsidRPr="00851B6C">
        <w:rPr>
          <w:rFonts w:eastAsia="Calibri"/>
          <w:color w:val="000000"/>
          <w:sz w:val="20"/>
        </w:rPr>
        <w:t xml:space="preserve">and decides to undertake the evaluation of </w:t>
      </w:r>
      <w:proofErr w:type="spellStart"/>
      <w:r w:rsidRPr="00851B6C">
        <w:rPr>
          <w:rFonts w:eastAsia="Calibri"/>
          <w:color w:val="000000"/>
          <w:sz w:val="20"/>
        </w:rPr>
        <w:t>perfluorooctane</w:t>
      </w:r>
      <w:proofErr w:type="spellEnd"/>
      <w:r w:rsidRPr="00851B6C">
        <w:rPr>
          <w:rFonts w:eastAsia="Calibri"/>
          <w:color w:val="000000"/>
          <w:sz w:val="20"/>
        </w:rPr>
        <w:t xml:space="preserve"> </w:t>
      </w:r>
      <w:proofErr w:type="spellStart"/>
      <w:r w:rsidRPr="00851B6C">
        <w:rPr>
          <w:rFonts w:eastAsia="Calibri"/>
          <w:color w:val="000000"/>
          <w:sz w:val="20"/>
        </w:rPr>
        <w:t>sulfonic</w:t>
      </w:r>
      <w:proofErr w:type="spellEnd"/>
      <w:r w:rsidRPr="00851B6C">
        <w:rPr>
          <w:rFonts w:eastAsia="Calibri"/>
          <w:color w:val="000000"/>
          <w:sz w:val="20"/>
        </w:rPr>
        <w:t xml:space="preserve"> acid, its salts and </w:t>
      </w:r>
      <w:proofErr w:type="spellStart"/>
      <w:r w:rsidRPr="00851B6C">
        <w:rPr>
          <w:rFonts w:eastAsia="Calibri"/>
          <w:color w:val="000000"/>
          <w:sz w:val="20"/>
        </w:rPr>
        <w:t>perfluorooctane</w:t>
      </w:r>
      <w:proofErr w:type="spellEnd"/>
      <w:r w:rsidRPr="00851B6C">
        <w:rPr>
          <w:rFonts w:eastAsia="Calibri"/>
          <w:color w:val="000000"/>
          <w:sz w:val="20"/>
        </w:rPr>
        <w:t xml:space="preserve"> </w:t>
      </w:r>
      <w:proofErr w:type="spellStart"/>
      <w:r w:rsidRPr="00851B6C">
        <w:rPr>
          <w:rFonts w:eastAsia="Calibri"/>
          <w:color w:val="000000"/>
          <w:sz w:val="20"/>
        </w:rPr>
        <w:t>sulfonyl</w:t>
      </w:r>
      <w:proofErr w:type="spellEnd"/>
      <w:r w:rsidRPr="00851B6C">
        <w:rPr>
          <w:rFonts w:eastAsia="Calibri"/>
          <w:color w:val="000000"/>
          <w:sz w:val="20"/>
        </w:rPr>
        <w:t xml:space="preserve"> fluoride at its ninth meeting; </w:t>
      </w:r>
    </w:p>
    <w:p w:rsidR="008B380A" w:rsidRPr="00851B6C" w:rsidRDefault="008B380A" w:rsidP="008B380A">
      <w:pPr>
        <w:tabs>
          <w:tab w:val="left" w:pos="624"/>
          <w:tab w:val="left" w:pos="1247"/>
        </w:tabs>
        <w:autoSpaceDE w:val="0"/>
        <w:autoSpaceDN w:val="0"/>
        <w:adjustRightInd w:val="0"/>
        <w:spacing w:after="120"/>
        <w:ind w:left="1247" w:firstLine="624"/>
        <w:rPr>
          <w:rFonts w:eastAsia="Calibri"/>
          <w:color w:val="000000"/>
          <w:sz w:val="20"/>
        </w:rPr>
      </w:pPr>
      <w:r w:rsidRPr="00851B6C">
        <w:rPr>
          <w:rFonts w:eastAsia="Calibri"/>
          <w:color w:val="000000"/>
          <w:sz w:val="20"/>
        </w:rPr>
        <w:t>8.</w:t>
      </w:r>
      <w:r w:rsidRPr="00851B6C">
        <w:rPr>
          <w:rFonts w:eastAsia="Calibri"/>
          <w:color w:val="000000"/>
          <w:sz w:val="20"/>
        </w:rPr>
        <w:tab/>
      </w:r>
      <w:r w:rsidRPr="00851B6C">
        <w:rPr>
          <w:rFonts w:eastAsia="Calibri"/>
          <w:i/>
          <w:iCs/>
          <w:color w:val="000000"/>
          <w:sz w:val="20"/>
        </w:rPr>
        <w:t xml:space="preserve">Encourages </w:t>
      </w:r>
      <w:r w:rsidRPr="00851B6C">
        <w:rPr>
          <w:rFonts w:eastAsia="Calibri"/>
          <w:color w:val="000000"/>
          <w:sz w:val="20"/>
        </w:rPr>
        <w:t xml:space="preserve">parties that have registered or will register for the production and use of </w:t>
      </w:r>
      <w:proofErr w:type="spellStart"/>
      <w:r w:rsidRPr="00851B6C">
        <w:rPr>
          <w:rFonts w:eastAsia="Calibri"/>
          <w:color w:val="000000"/>
          <w:sz w:val="20"/>
        </w:rPr>
        <w:t>perfluorooctane</w:t>
      </w:r>
      <w:proofErr w:type="spellEnd"/>
      <w:r w:rsidRPr="00851B6C">
        <w:rPr>
          <w:rFonts w:eastAsia="Calibri"/>
          <w:color w:val="000000"/>
          <w:sz w:val="20"/>
        </w:rPr>
        <w:t xml:space="preserve"> </w:t>
      </w:r>
      <w:proofErr w:type="spellStart"/>
      <w:r w:rsidRPr="00851B6C">
        <w:rPr>
          <w:rFonts w:eastAsia="Calibri"/>
          <w:color w:val="000000"/>
          <w:sz w:val="20"/>
        </w:rPr>
        <w:t>sulfonic</w:t>
      </w:r>
      <w:proofErr w:type="spellEnd"/>
      <w:r w:rsidRPr="00851B6C">
        <w:rPr>
          <w:rFonts w:eastAsia="Calibri"/>
          <w:color w:val="000000"/>
          <w:sz w:val="20"/>
        </w:rPr>
        <w:t xml:space="preserve"> acid, its salts and </w:t>
      </w:r>
      <w:proofErr w:type="spellStart"/>
      <w:r w:rsidRPr="00851B6C">
        <w:rPr>
          <w:rFonts w:eastAsia="Calibri"/>
          <w:color w:val="000000"/>
          <w:sz w:val="20"/>
        </w:rPr>
        <w:t>perfluorooctane</w:t>
      </w:r>
      <w:proofErr w:type="spellEnd"/>
      <w:r w:rsidRPr="00851B6C">
        <w:rPr>
          <w:rFonts w:eastAsia="Calibri"/>
          <w:color w:val="000000"/>
          <w:sz w:val="20"/>
        </w:rPr>
        <w:t xml:space="preserve"> </w:t>
      </w:r>
      <w:proofErr w:type="spellStart"/>
      <w:r w:rsidRPr="00851B6C">
        <w:rPr>
          <w:rFonts w:eastAsia="Calibri"/>
          <w:color w:val="000000"/>
          <w:sz w:val="20"/>
        </w:rPr>
        <w:t>sulfonyl</w:t>
      </w:r>
      <w:proofErr w:type="spellEnd"/>
      <w:r w:rsidRPr="00851B6C">
        <w:rPr>
          <w:rFonts w:eastAsia="Calibri"/>
          <w:color w:val="000000"/>
          <w:sz w:val="20"/>
        </w:rPr>
        <w:t xml:space="preserve"> fluoride for acceptable purpose</w:t>
      </w:r>
      <w:r>
        <w:rPr>
          <w:rFonts w:eastAsia="Calibri"/>
          <w:color w:val="000000"/>
          <w:sz w:val="20"/>
        </w:rPr>
        <w:t>s</w:t>
      </w:r>
      <w:r w:rsidRPr="00851B6C">
        <w:rPr>
          <w:rFonts w:eastAsia="Calibri"/>
          <w:color w:val="000000"/>
          <w:sz w:val="20"/>
        </w:rPr>
        <w:t xml:space="preserve"> by notifying the Secretariat in accordance with Annex B to the Convention to take measures necessary to ensure that articles containing </w:t>
      </w:r>
      <w:proofErr w:type="spellStart"/>
      <w:r w:rsidRPr="00851B6C">
        <w:rPr>
          <w:rFonts w:eastAsia="Calibri"/>
          <w:color w:val="000000"/>
          <w:sz w:val="20"/>
        </w:rPr>
        <w:t>perfluorooctane</w:t>
      </w:r>
      <w:proofErr w:type="spellEnd"/>
      <w:r w:rsidRPr="00851B6C">
        <w:rPr>
          <w:rFonts w:eastAsia="Calibri"/>
          <w:color w:val="000000"/>
          <w:sz w:val="20"/>
        </w:rPr>
        <w:t xml:space="preserve"> </w:t>
      </w:r>
      <w:proofErr w:type="spellStart"/>
      <w:r w:rsidRPr="00851B6C">
        <w:rPr>
          <w:rFonts w:eastAsia="Calibri"/>
          <w:color w:val="000000"/>
          <w:sz w:val="20"/>
        </w:rPr>
        <w:t>sulfonic</w:t>
      </w:r>
      <w:proofErr w:type="spellEnd"/>
      <w:r w:rsidRPr="00851B6C">
        <w:rPr>
          <w:rFonts w:eastAsia="Calibri"/>
          <w:color w:val="000000"/>
          <w:sz w:val="20"/>
        </w:rPr>
        <w:t xml:space="preserve"> acid, its salts and </w:t>
      </w:r>
      <w:proofErr w:type="spellStart"/>
      <w:r w:rsidRPr="00851B6C">
        <w:rPr>
          <w:rFonts w:eastAsia="Calibri"/>
          <w:color w:val="000000"/>
          <w:sz w:val="20"/>
        </w:rPr>
        <w:lastRenderedPageBreak/>
        <w:t>perfluorooctane</w:t>
      </w:r>
      <w:proofErr w:type="spellEnd"/>
      <w:r w:rsidRPr="00851B6C">
        <w:rPr>
          <w:rFonts w:eastAsia="Calibri"/>
          <w:color w:val="000000"/>
          <w:sz w:val="20"/>
        </w:rPr>
        <w:t xml:space="preserve"> </w:t>
      </w:r>
      <w:proofErr w:type="spellStart"/>
      <w:r w:rsidRPr="00851B6C">
        <w:rPr>
          <w:rFonts w:eastAsia="Calibri"/>
          <w:color w:val="000000"/>
          <w:sz w:val="20"/>
        </w:rPr>
        <w:t>sulfonyl</w:t>
      </w:r>
      <w:proofErr w:type="spellEnd"/>
      <w:r w:rsidRPr="00851B6C">
        <w:rPr>
          <w:rFonts w:eastAsia="Calibri"/>
          <w:color w:val="000000"/>
          <w:sz w:val="20"/>
        </w:rPr>
        <w:t xml:space="preserve"> fluoride that are allowed to be produced and used can be easily identified by labelling or other means throughout their life cycles; </w:t>
      </w:r>
    </w:p>
    <w:p w:rsidR="008B380A" w:rsidRPr="00851B6C" w:rsidRDefault="008B380A" w:rsidP="008B380A">
      <w:pPr>
        <w:tabs>
          <w:tab w:val="left" w:pos="624"/>
          <w:tab w:val="left" w:pos="1247"/>
        </w:tabs>
        <w:autoSpaceDE w:val="0"/>
        <w:autoSpaceDN w:val="0"/>
        <w:adjustRightInd w:val="0"/>
        <w:spacing w:after="120"/>
        <w:ind w:left="1247" w:firstLine="624"/>
        <w:rPr>
          <w:rFonts w:eastAsia="Calibri"/>
          <w:color w:val="000000"/>
          <w:sz w:val="20"/>
        </w:rPr>
      </w:pPr>
      <w:r w:rsidRPr="00851B6C">
        <w:rPr>
          <w:rFonts w:eastAsia="Calibri"/>
          <w:color w:val="000000"/>
          <w:sz w:val="20"/>
        </w:rPr>
        <w:t>9.</w:t>
      </w:r>
      <w:r w:rsidRPr="00851B6C">
        <w:rPr>
          <w:rFonts w:eastAsia="Calibri"/>
          <w:color w:val="000000"/>
          <w:sz w:val="20"/>
        </w:rPr>
        <w:tab/>
      </w:r>
      <w:r w:rsidRPr="00851B6C">
        <w:rPr>
          <w:rFonts w:eastAsia="Calibri"/>
          <w:i/>
          <w:iCs/>
          <w:color w:val="000000"/>
          <w:sz w:val="20"/>
        </w:rPr>
        <w:t xml:space="preserve">Reminds </w:t>
      </w:r>
      <w:r w:rsidRPr="00851B6C">
        <w:rPr>
          <w:rFonts w:eastAsia="Calibri"/>
          <w:color w:val="000000"/>
          <w:sz w:val="20"/>
        </w:rPr>
        <w:t xml:space="preserve">parties that paragraph 4 (c) of part III of Annex B to the Convention encourages parties, within their capabilities, to promote research on and </w:t>
      </w:r>
      <w:r>
        <w:rPr>
          <w:rFonts w:eastAsia="Calibri"/>
          <w:color w:val="000000"/>
          <w:sz w:val="20"/>
        </w:rPr>
        <w:t xml:space="preserve">the </w:t>
      </w:r>
      <w:r w:rsidRPr="00851B6C">
        <w:rPr>
          <w:rFonts w:eastAsia="Calibri"/>
          <w:color w:val="000000"/>
          <w:sz w:val="20"/>
        </w:rPr>
        <w:t xml:space="preserve">development of safe alternatives to </w:t>
      </w:r>
      <w:proofErr w:type="spellStart"/>
      <w:r w:rsidRPr="00851B6C">
        <w:rPr>
          <w:rFonts w:eastAsia="Calibri"/>
          <w:color w:val="000000"/>
          <w:sz w:val="20"/>
        </w:rPr>
        <w:t>perfluorooctane</w:t>
      </w:r>
      <w:proofErr w:type="spellEnd"/>
      <w:r w:rsidRPr="00851B6C">
        <w:rPr>
          <w:rFonts w:eastAsia="Calibri"/>
          <w:color w:val="000000"/>
          <w:sz w:val="20"/>
        </w:rPr>
        <w:t xml:space="preserve"> </w:t>
      </w:r>
      <w:proofErr w:type="spellStart"/>
      <w:r w:rsidRPr="00851B6C">
        <w:rPr>
          <w:rFonts w:eastAsia="Calibri"/>
          <w:color w:val="000000"/>
          <w:sz w:val="20"/>
        </w:rPr>
        <w:t>sulfonic</w:t>
      </w:r>
      <w:proofErr w:type="spellEnd"/>
      <w:r w:rsidRPr="00851B6C">
        <w:rPr>
          <w:rFonts w:eastAsia="Calibri"/>
          <w:color w:val="000000"/>
          <w:sz w:val="20"/>
        </w:rPr>
        <w:t xml:space="preserve"> acid, its salts and </w:t>
      </w:r>
      <w:proofErr w:type="spellStart"/>
      <w:r w:rsidRPr="00851B6C">
        <w:rPr>
          <w:rFonts w:eastAsia="Calibri"/>
          <w:color w:val="000000"/>
          <w:sz w:val="20"/>
        </w:rPr>
        <w:t>perfluorooctane</w:t>
      </w:r>
      <w:proofErr w:type="spellEnd"/>
      <w:r w:rsidRPr="00851B6C">
        <w:rPr>
          <w:rFonts w:eastAsia="Calibri"/>
          <w:color w:val="000000"/>
          <w:sz w:val="20"/>
        </w:rPr>
        <w:t xml:space="preserve"> </w:t>
      </w:r>
      <w:proofErr w:type="spellStart"/>
      <w:r w:rsidRPr="00851B6C">
        <w:rPr>
          <w:rFonts w:eastAsia="Calibri"/>
          <w:color w:val="000000"/>
          <w:sz w:val="20"/>
        </w:rPr>
        <w:t>sulfonyl</w:t>
      </w:r>
      <w:proofErr w:type="spellEnd"/>
      <w:r w:rsidRPr="00851B6C">
        <w:rPr>
          <w:rFonts w:eastAsia="Calibri"/>
          <w:color w:val="000000"/>
          <w:sz w:val="20"/>
        </w:rPr>
        <w:t xml:space="preserve"> fluoride, and invites parties to submit information on such research and development in the process of information collection for the evaluation to take place at the ninth meeting of the Conference of the Parties; </w:t>
      </w:r>
    </w:p>
    <w:p w:rsidR="008B380A" w:rsidRPr="00851B6C" w:rsidRDefault="008B380A" w:rsidP="008B380A">
      <w:pPr>
        <w:tabs>
          <w:tab w:val="left" w:pos="624"/>
          <w:tab w:val="left" w:pos="1247"/>
        </w:tabs>
        <w:autoSpaceDE w:val="0"/>
        <w:autoSpaceDN w:val="0"/>
        <w:adjustRightInd w:val="0"/>
        <w:spacing w:after="120"/>
        <w:ind w:left="1247" w:firstLine="624"/>
        <w:rPr>
          <w:rFonts w:eastAsia="Calibri"/>
          <w:color w:val="000000"/>
          <w:sz w:val="20"/>
        </w:rPr>
      </w:pPr>
      <w:r w:rsidRPr="00851B6C">
        <w:rPr>
          <w:rFonts w:eastAsia="Calibri"/>
          <w:color w:val="000000"/>
          <w:sz w:val="20"/>
        </w:rPr>
        <w:t>10.</w:t>
      </w:r>
      <w:r w:rsidRPr="00851B6C">
        <w:rPr>
          <w:rFonts w:eastAsia="Calibri"/>
          <w:color w:val="000000"/>
          <w:sz w:val="20"/>
        </w:rPr>
        <w:tab/>
      </w:r>
      <w:r w:rsidRPr="00851B6C">
        <w:rPr>
          <w:rFonts w:eastAsia="Calibri"/>
          <w:i/>
          <w:iCs/>
          <w:color w:val="000000"/>
          <w:sz w:val="20"/>
        </w:rPr>
        <w:t xml:space="preserve">Requests </w:t>
      </w:r>
      <w:r w:rsidRPr="00851B6C">
        <w:rPr>
          <w:rFonts w:eastAsia="Calibri"/>
          <w:color w:val="000000"/>
          <w:sz w:val="20"/>
        </w:rPr>
        <w:t xml:space="preserve">the Secretariat: </w:t>
      </w:r>
    </w:p>
    <w:p w:rsidR="008B380A" w:rsidRPr="00851B6C" w:rsidRDefault="008B380A" w:rsidP="008B380A">
      <w:pPr>
        <w:tabs>
          <w:tab w:val="left" w:pos="624"/>
          <w:tab w:val="left" w:pos="1247"/>
        </w:tabs>
        <w:autoSpaceDE w:val="0"/>
        <w:autoSpaceDN w:val="0"/>
        <w:adjustRightInd w:val="0"/>
        <w:spacing w:after="120"/>
        <w:ind w:left="1247" w:firstLine="624"/>
        <w:rPr>
          <w:rFonts w:eastAsia="Calibri"/>
          <w:color w:val="000000"/>
          <w:sz w:val="20"/>
        </w:rPr>
      </w:pPr>
      <w:r w:rsidRPr="00851B6C">
        <w:rPr>
          <w:rFonts w:eastAsia="Calibri"/>
          <w:color w:val="000000"/>
          <w:sz w:val="20"/>
        </w:rPr>
        <w:t>(a)</w:t>
      </w:r>
      <w:r w:rsidRPr="00851B6C">
        <w:rPr>
          <w:rFonts w:eastAsia="Calibri"/>
          <w:color w:val="000000"/>
          <w:sz w:val="20"/>
        </w:rPr>
        <w:tab/>
        <w:t xml:space="preserve">To revise the format for the collection of information on alternatives to the use of </w:t>
      </w:r>
      <w:proofErr w:type="spellStart"/>
      <w:r w:rsidRPr="00851B6C">
        <w:rPr>
          <w:rFonts w:eastAsia="Calibri"/>
          <w:color w:val="000000"/>
          <w:sz w:val="20"/>
        </w:rPr>
        <w:t>perfluorooctane</w:t>
      </w:r>
      <w:proofErr w:type="spellEnd"/>
      <w:r w:rsidRPr="00851B6C">
        <w:rPr>
          <w:rFonts w:eastAsia="Calibri"/>
          <w:color w:val="000000"/>
          <w:sz w:val="20"/>
        </w:rPr>
        <w:t xml:space="preserve"> </w:t>
      </w:r>
      <w:proofErr w:type="spellStart"/>
      <w:r w:rsidRPr="00851B6C">
        <w:rPr>
          <w:rFonts w:eastAsia="Calibri"/>
          <w:color w:val="000000"/>
          <w:sz w:val="20"/>
        </w:rPr>
        <w:t>sulfonic</w:t>
      </w:r>
      <w:proofErr w:type="spellEnd"/>
      <w:r w:rsidRPr="00851B6C">
        <w:rPr>
          <w:rFonts w:eastAsia="Calibri"/>
          <w:color w:val="000000"/>
          <w:sz w:val="20"/>
        </w:rPr>
        <w:t xml:space="preserve"> acid, its salts and </w:t>
      </w:r>
      <w:proofErr w:type="spellStart"/>
      <w:r w:rsidRPr="00851B6C">
        <w:rPr>
          <w:rFonts w:eastAsia="Calibri"/>
          <w:color w:val="000000"/>
          <w:sz w:val="20"/>
        </w:rPr>
        <w:t>perfluorooctane</w:t>
      </w:r>
      <w:proofErr w:type="spellEnd"/>
      <w:r w:rsidRPr="00851B6C">
        <w:rPr>
          <w:rFonts w:eastAsia="Calibri"/>
          <w:color w:val="000000"/>
          <w:sz w:val="20"/>
        </w:rPr>
        <w:t xml:space="preserve"> </w:t>
      </w:r>
      <w:proofErr w:type="spellStart"/>
      <w:r w:rsidRPr="00851B6C">
        <w:rPr>
          <w:rFonts w:eastAsia="Calibri"/>
          <w:color w:val="000000"/>
          <w:sz w:val="20"/>
        </w:rPr>
        <w:t>sulfonyl</w:t>
      </w:r>
      <w:proofErr w:type="spellEnd"/>
      <w:r w:rsidRPr="00851B6C">
        <w:rPr>
          <w:rFonts w:eastAsia="Calibri"/>
          <w:color w:val="000000"/>
          <w:sz w:val="20"/>
        </w:rPr>
        <w:t xml:space="preserve"> fluoride and their related chemicals, taking into account the recommendation</w:t>
      </w:r>
      <w:r>
        <w:rPr>
          <w:rFonts w:eastAsia="Calibri"/>
          <w:color w:val="000000"/>
          <w:sz w:val="20"/>
        </w:rPr>
        <w:t>s</w:t>
      </w:r>
      <w:r w:rsidRPr="00851B6C">
        <w:rPr>
          <w:rFonts w:eastAsia="Calibri"/>
          <w:color w:val="000000"/>
          <w:sz w:val="20"/>
        </w:rPr>
        <w:t xml:space="preserve"> of the Committee</w:t>
      </w:r>
      <w:r w:rsidRPr="00851B6C">
        <w:rPr>
          <w:rFonts w:eastAsia="Calibri"/>
          <w:color w:val="000000"/>
          <w:sz w:val="13"/>
          <w:szCs w:val="13"/>
        </w:rPr>
        <w:t xml:space="preserve"> </w:t>
      </w:r>
      <w:r w:rsidRPr="00851B6C">
        <w:rPr>
          <w:rFonts w:eastAsia="Calibri"/>
          <w:color w:val="000000"/>
          <w:sz w:val="20"/>
        </w:rPr>
        <w:t xml:space="preserve">and comments made by the Conference of the Parties at its seventh meeting, and </w:t>
      </w:r>
      <w:r>
        <w:rPr>
          <w:rFonts w:eastAsia="Calibri"/>
          <w:color w:val="000000"/>
          <w:sz w:val="20"/>
        </w:rPr>
        <w:t xml:space="preserve">to </w:t>
      </w:r>
      <w:r w:rsidRPr="00851B6C">
        <w:rPr>
          <w:rFonts w:eastAsia="Calibri"/>
          <w:color w:val="000000"/>
          <w:sz w:val="20"/>
        </w:rPr>
        <w:t xml:space="preserve">use </w:t>
      </w:r>
      <w:r>
        <w:rPr>
          <w:rFonts w:eastAsia="Calibri"/>
          <w:color w:val="000000"/>
          <w:sz w:val="20"/>
        </w:rPr>
        <w:t>the format as so revised</w:t>
      </w:r>
      <w:r w:rsidRPr="00851B6C">
        <w:rPr>
          <w:rFonts w:eastAsia="Calibri"/>
          <w:color w:val="000000"/>
          <w:sz w:val="20"/>
        </w:rPr>
        <w:t xml:space="preserve"> for the evaluation to take place at the ninth meeting of the Conference of the Parties; </w:t>
      </w:r>
    </w:p>
    <w:p w:rsidR="008B380A" w:rsidRPr="00851B6C" w:rsidRDefault="008B380A" w:rsidP="008B380A">
      <w:pPr>
        <w:tabs>
          <w:tab w:val="left" w:pos="624"/>
          <w:tab w:val="left" w:pos="1247"/>
        </w:tabs>
        <w:autoSpaceDE w:val="0"/>
        <w:autoSpaceDN w:val="0"/>
        <w:adjustRightInd w:val="0"/>
        <w:spacing w:after="120"/>
        <w:ind w:left="1247" w:firstLine="624"/>
        <w:rPr>
          <w:rFonts w:eastAsia="Calibri"/>
          <w:color w:val="000000"/>
          <w:sz w:val="20"/>
        </w:rPr>
      </w:pPr>
      <w:r w:rsidRPr="00851B6C">
        <w:rPr>
          <w:rFonts w:eastAsia="Calibri"/>
          <w:color w:val="000000"/>
          <w:sz w:val="20"/>
        </w:rPr>
        <w:t xml:space="preserve">(b) </w:t>
      </w:r>
      <w:r w:rsidRPr="00851B6C">
        <w:rPr>
          <w:rFonts w:eastAsia="Calibri"/>
          <w:color w:val="000000"/>
          <w:sz w:val="20"/>
        </w:rPr>
        <w:tab/>
        <w:t xml:space="preserve">To continue to support the process set out in the annex to decision SC-6/4 to enable the Conference of the Parties to undertake the evaluation of </w:t>
      </w:r>
      <w:proofErr w:type="spellStart"/>
      <w:r w:rsidRPr="00851B6C">
        <w:rPr>
          <w:rFonts w:eastAsia="Calibri"/>
          <w:color w:val="000000"/>
          <w:sz w:val="20"/>
        </w:rPr>
        <w:t>perfluorooctane</w:t>
      </w:r>
      <w:proofErr w:type="spellEnd"/>
      <w:r w:rsidRPr="00851B6C">
        <w:rPr>
          <w:rFonts w:eastAsia="Calibri"/>
          <w:color w:val="000000"/>
          <w:sz w:val="20"/>
        </w:rPr>
        <w:t xml:space="preserve"> </w:t>
      </w:r>
      <w:proofErr w:type="spellStart"/>
      <w:r w:rsidRPr="00851B6C">
        <w:rPr>
          <w:rFonts w:eastAsia="Calibri"/>
          <w:color w:val="000000"/>
          <w:sz w:val="20"/>
        </w:rPr>
        <w:t>sulfonic</w:t>
      </w:r>
      <w:proofErr w:type="spellEnd"/>
      <w:r w:rsidRPr="00851B6C">
        <w:rPr>
          <w:rFonts w:eastAsia="Calibri"/>
          <w:color w:val="000000"/>
          <w:sz w:val="20"/>
        </w:rPr>
        <w:t xml:space="preserve"> acid, its salts and </w:t>
      </w:r>
      <w:proofErr w:type="spellStart"/>
      <w:r w:rsidRPr="00851B6C">
        <w:rPr>
          <w:rFonts w:eastAsia="Calibri"/>
          <w:color w:val="000000"/>
          <w:sz w:val="20"/>
        </w:rPr>
        <w:t>perfluorooctane</w:t>
      </w:r>
      <w:proofErr w:type="spellEnd"/>
      <w:r w:rsidRPr="00851B6C">
        <w:rPr>
          <w:rFonts w:eastAsia="Calibri"/>
          <w:color w:val="000000"/>
          <w:sz w:val="20"/>
        </w:rPr>
        <w:t xml:space="preserve"> </w:t>
      </w:r>
      <w:proofErr w:type="spellStart"/>
      <w:r w:rsidRPr="00851B6C">
        <w:rPr>
          <w:rFonts w:eastAsia="Calibri"/>
          <w:color w:val="000000"/>
          <w:sz w:val="20"/>
        </w:rPr>
        <w:t>sulfonyl</w:t>
      </w:r>
      <w:proofErr w:type="spellEnd"/>
      <w:r w:rsidRPr="00851B6C">
        <w:rPr>
          <w:rFonts w:eastAsia="Calibri"/>
          <w:color w:val="000000"/>
          <w:sz w:val="20"/>
        </w:rPr>
        <w:t xml:space="preserve"> fluoride pursuant to paragraphs 5 and 6 of part III of Annex B to the Convention and to support parties, subject to the availability of resources, in undertaking activities to collect and submit information required for the process; </w:t>
      </w:r>
    </w:p>
    <w:p w:rsidR="008B380A" w:rsidRPr="00851B6C" w:rsidRDefault="008B380A" w:rsidP="008B380A">
      <w:pPr>
        <w:tabs>
          <w:tab w:val="left" w:pos="624"/>
          <w:tab w:val="left" w:pos="1247"/>
        </w:tabs>
        <w:autoSpaceDE w:val="0"/>
        <w:autoSpaceDN w:val="0"/>
        <w:adjustRightInd w:val="0"/>
        <w:spacing w:after="120"/>
        <w:ind w:left="1247" w:firstLine="624"/>
        <w:rPr>
          <w:rFonts w:eastAsia="Calibri"/>
          <w:color w:val="000000"/>
          <w:sz w:val="20"/>
        </w:rPr>
      </w:pPr>
      <w:r w:rsidRPr="00851B6C">
        <w:rPr>
          <w:rFonts w:eastAsia="Calibri"/>
          <w:color w:val="000000"/>
          <w:sz w:val="20"/>
        </w:rPr>
        <w:t>(c)</w:t>
      </w:r>
      <w:r w:rsidRPr="00851B6C">
        <w:rPr>
          <w:rFonts w:eastAsia="Calibri"/>
          <w:color w:val="000000"/>
          <w:sz w:val="20"/>
        </w:rPr>
        <w:tab/>
        <w:t xml:space="preserve"> To further promote the exchange of information, including information provided by parties and others, on alternatives to </w:t>
      </w:r>
      <w:proofErr w:type="spellStart"/>
      <w:r w:rsidRPr="00851B6C">
        <w:rPr>
          <w:rFonts w:eastAsia="Calibri"/>
          <w:color w:val="000000"/>
          <w:sz w:val="20"/>
        </w:rPr>
        <w:t>perfluorooctane</w:t>
      </w:r>
      <w:proofErr w:type="spellEnd"/>
      <w:r w:rsidRPr="00851B6C">
        <w:rPr>
          <w:rFonts w:eastAsia="Calibri"/>
          <w:color w:val="000000"/>
          <w:sz w:val="20"/>
        </w:rPr>
        <w:t xml:space="preserve"> </w:t>
      </w:r>
      <w:proofErr w:type="spellStart"/>
      <w:r w:rsidRPr="00851B6C">
        <w:rPr>
          <w:rFonts w:eastAsia="Calibri"/>
          <w:color w:val="000000"/>
          <w:sz w:val="20"/>
        </w:rPr>
        <w:t>sulfonic</w:t>
      </w:r>
      <w:proofErr w:type="spellEnd"/>
      <w:r w:rsidRPr="00851B6C">
        <w:rPr>
          <w:rFonts w:eastAsia="Calibri"/>
          <w:color w:val="000000"/>
          <w:sz w:val="20"/>
        </w:rPr>
        <w:t xml:space="preserve"> acid, its salts and </w:t>
      </w:r>
      <w:proofErr w:type="spellStart"/>
      <w:r w:rsidRPr="00851B6C">
        <w:rPr>
          <w:rFonts w:eastAsia="Calibri"/>
          <w:color w:val="000000"/>
          <w:sz w:val="20"/>
        </w:rPr>
        <w:t>perfluorooctane</w:t>
      </w:r>
      <w:proofErr w:type="spellEnd"/>
      <w:r w:rsidRPr="00851B6C">
        <w:rPr>
          <w:rFonts w:eastAsia="Calibri"/>
          <w:color w:val="000000"/>
          <w:sz w:val="20"/>
        </w:rPr>
        <w:t xml:space="preserve"> </w:t>
      </w:r>
      <w:proofErr w:type="spellStart"/>
      <w:r w:rsidRPr="00851B6C">
        <w:rPr>
          <w:rFonts w:eastAsia="Calibri"/>
          <w:color w:val="000000"/>
          <w:sz w:val="20"/>
        </w:rPr>
        <w:t>sulfonyl</w:t>
      </w:r>
      <w:proofErr w:type="spellEnd"/>
      <w:r w:rsidRPr="00851B6C">
        <w:rPr>
          <w:rFonts w:eastAsia="Calibri"/>
          <w:color w:val="000000"/>
          <w:sz w:val="20"/>
        </w:rPr>
        <w:t xml:space="preserve"> fluoride and their related chemicals, and support parties, subject to the availability of resources, in undertaking activities to collect and submit information required for the evaluation of </w:t>
      </w:r>
      <w:proofErr w:type="spellStart"/>
      <w:r w:rsidRPr="00851B6C">
        <w:rPr>
          <w:rFonts w:eastAsia="Calibri"/>
          <w:color w:val="000000"/>
          <w:sz w:val="20"/>
        </w:rPr>
        <w:t>perfluorooctane</w:t>
      </w:r>
      <w:proofErr w:type="spellEnd"/>
      <w:r w:rsidRPr="00851B6C">
        <w:rPr>
          <w:rFonts w:eastAsia="Calibri"/>
          <w:color w:val="000000"/>
          <w:sz w:val="20"/>
        </w:rPr>
        <w:t xml:space="preserve"> </w:t>
      </w:r>
      <w:proofErr w:type="spellStart"/>
      <w:r w:rsidRPr="00851B6C">
        <w:rPr>
          <w:rFonts w:eastAsia="Calibri"/>
          <w:color w:val="000000"/>
          <w:sz w:val="20"/>
        </w:rPr>
        <w:t>sulfonic</w:t>
      </w:r>
      <w:proofErr w:type="spellEnd"/>
      <w:r w:rsidRPr="00851B6C">
        <w:rPr>
          <w:rFonts w:eastAsia="Calibri"/>
          <w:color w:val="000000"/>
          <w:sz w:val="20"/>
        </w:rPr>
        <w:t xml:space="preserve"> acid, its salts and </w:t>
      </w:r>
      <w:proofErr w:type="spellStart"/>
      <w:r w:rsidRPr="00851B6C">
        <w:rPr>
          <w:rFonts w:eastAsia="Calibri"/>
          <w:color w:val="000000"/>
          <w:sz w:val="20"/>
        </w:rPr>
        <w:t>perfluorooctane</w:t>
      </w:r>
      <w:proofErr w:type="spellEnd"/>
      <w:r w:rsidRPr="00851B6C">
        <w:rPr>
          <w:rFonts w:eastAsia="Calibri"/>
          <w:color w:val="000000"/>
          <w:sz w:val="20"/>
        </w:rPr>
        <w:t xml:space="preserve"> </w:t>
      </w:r>
      <w:proofErr w:type="spellStart"/>
      <w:r w:rsidRPr="00851B6C">
        <w:rPr>
          <w:rFonts w:eastAsia="Calibri"/>
          <w:color w:val="000000"/>
          <w:sz w:val="20"/>
        </w:rPr>
        <w:t>sulfonyl</w:t>
      </w:r>
      <w:proofErr w:type="spellEnd"/>
      <w:r w:rsidRPr="00851B6C">
        <w:rPr>
          <w:rFonts w:eastAsia="Calibri"/>
          <w:color w:val="000000"/>
          <w:sz w:val="20"/>
        </w:rPr>
        <w:t xml:space="preserve"> fluoride; </w:t>
      </w:r>
    </w:p>
    <w:p w:rsidR="008B380A" w:rsidRPr="00851B6C" w:rsidRDefault="008B380A" w:rsidP="008B380A">
      <w:pPr>
        <w:tabs>
          <w:tab w:val="left" w:pos="624"/>
          <w:tab w:val="left" w:pos="1247"/>
        </w:tabs>
        <w:autoSpaceDE w:val="0"/>
        <w:autoSpaceDN w:val="0"/>
        <w:adjustRightInd w:val="0"/>
        <w:spacing w:after="120"/>
        <w:ind w:left="1247" w:firstLine="624"/>
        <w:rPr>
          <w:rFonts w:eastAsia="Calibri"/>
          <w:color w:val="000000"/>
          <w:sz w:val="20"/>
        </w:rPr>
      </w:pPr>
      <w:r w:rsidRPr="00851B6C">
        <w:rPr>
          <w:rFonts w:eastAsia="Calibri"/>
          <w:color w:val="000000"/>
          <w:sz w:val="20"/>
        </w:rPr>
        <w:t xml:space="preserve">(d) </w:t>
      </w:r>
      <w:r w:rsidRPr="00851B6C">
        <w:rPr>
          <w:rFonts w:eastAsia="Calibri"/>
          <w:color w:val="000000"/>
          <w:sz w:val="20"/>
        </w:rPr>
        <w:tab/>
        <w:t>To prepare a document providing possible actions by the Conference of the Parties</w:t>
      </w:r>
      <w:r>
        <w:rPr>
          <w:rFonts w:eastAsia="Calibri"/>
          <w:color w:val="000000"/>
          <w:sz w:val="20"/>
        </w:rPr>
        <w:t>,</w:t>
      </w:r>
      <w:r w:rsidRPr="00851B6C">
        <w:rPr>
          <w:rFonts w:eastAsia="Calibri"/>
          <w:color w:val="000000"/>
          <w:sz w:val="20"/>
        </w:rPr>
        <w:t xml:space="preserve"> </w:t>
      </w:r>
      <w:r>
        <w:rPr>
          <w:rFonts w:eastAsia="Calibri"/>
          <w:color w:val="000000"/>
          <w:sz w:val="20"/>
        </w:rPr>
        <w:t>should</w:t>
      </w:r>
      <w:r w:rsidRPr="00851B6C">
        <w:rPr>
          <w:rFonts w:eastAsia="Calibri"/>
          <w:color w:val="000000"/>
          <w:sz w:val="20"/>
        </w:rPr>
        <w:t xml:space="preserve"> the Conference conclude that there is no continued need for the various acceptable purposes for </w:t>
      </w:r>
      <w:proofErr w:type="spellStart"/>
      <w:r w:rsidRPr="00851B6C">
        <w:rPr>
          <w:rFonts w:eastAsia="Calibri"/>
          <w:color w:val="000000"/>
          <w:sz w:val="20"/>
        </w:rPr>
        <w:t>perfluorooctane</w:t>
      </w:r>
      <w:proofErr w:type="spellEnd"/>
      <w:r w:rsidRPr="00851B6C">
        <w:rPr>
          <w:rFonts w:eastAsia="Calibri"/>
          <w:color w:val="000000"/>
          <w:sz w:val="20"/>
        </w:rPr>
        <w:t xml:space="preserve"> </w:t>
      </w:r>
      <w:proofErr w:type="spellStart"/>
      <w:r w:rsidRPr="00851B6C">
        <w:rPr>
          <w:rFonts w:eastAsia="Calibri"/>
          <w:color w:val="000000"/>
          <w:sz w:val="20"/>
        </w:rPr>
        <w:t>sulfonic</w:t>
      </w:r>
      <w:proofErr w:type="spellEnd"/>
      <w:r w:rsidRPr="00851B6C">
        <w:rPr>
          <w:rFonts w:eastAsia="Calibri"/>
          <w:color w:val="000000"/>
          <w:sz w:val="20"/>
        </w:rPr>
        <w:t xml:space="preserve"> acid, its salts and </w:t>
      </w:r>
      <w:proofErr w:type="spellStart"/>
      <w:r w:rsidRPr="00851B6C">
        <w:rPr>
          <w:rFonts w:eastAsia="Calibri"/>
          <w:color w:val="000000"/>
          <w:sz w:val="20"/>
        </w:rPr>
        <w:t>perfluorooctane</w:t>
      </w:r>
      <w:proofErr w:type="spellEnd"/>
      <w:r w:rsidRPr="00851B6C">
        <w:rPr>
          <w:rFonts w:eastAsia="Calibri"/>
          <w:color w:val="000000"/>
          <w:sz w:val="20"/>
        </w:rPr>
        <w:t xml:space="preserve"> </w:t>
      </w:r>
      <w:proofErr w:type="spellStart"/>
      <w:r w:rsidRPr="00851B6C">
        <w:rPr>
          <w:rFonts w:eastAsia="Calibri"/>
          <w:color w:val="000000"/>
          <w:sz w:val="20"/>
        </w:rPr>
        <w:t>sulfonyl</w:t>
      </w:r>
      <w:proofErr w:type="spellEnd"/>
      <w:r w:rsidRPr="00851B6C">
        <w:rPr>
          <w:rFonts w:eastAsia="Calibri"/>
          <w:color w:val="000000"/>
          <w:sz w:val="20"/>
        </w:rPr>
        <w:t xml:space="preserve"> fluoride listed in Annex B, for consideration by the Conference of the Parties at its eighth meeting;</w:t>
      </w:r>
    </w:p>
    <w:p w:rsidR="008B380A" w:rsidRPr="00851B6C" w:rsidRDefault="008B380A" w:rsidP="008B380A">
      <w:pPr>
        <w:tabs>
          <w:tab w:val="left" w:pos="624"/>
          <w:tab w:val="left" w:pos="1247"/>
        </w:tabs>
        <w:autoSpaceDE w:val="0"/>
        <w:autoSpaceDN w:val="0"/>
        <w:adjustRightInd w:val="0"/>
        <w:spacing w:after="120"/>
        <w:ind w:left="1247" w:firstLine="624"/>
        <w:rPr>
          <w:rFonts w:eastAsia="Calibri"/>
          <w:color w:val="000000"/>
          <w:sz w:val="20"/>
        </w:rPr>
      </w:pPr>
      <w:r w:rsidRPr="00851B6C">
        <w:rPr>
          <w:rFonts w:eastAsia="Calibri"/>
          <w:color w:val="000000"/>
          <w:sz w:val="20"/>
        </w:rPr>
        <w:t>11.</w:t>
      </w:r>
      <w:r w:rsidRPr="00851B6C">
        <w:rPr>
          <w:rFonts w:eastAsia="Calibri"/>
          <w:color w:val="000000"/>
          <w:sz w:val="20"/>
        </w:rPr>
        <w:tab/>
      </w:r>
      <w:r w:rsidRPr="00851B6C">
        <w:rPr>
          <w:rFonts w:eastAsia="Calibri"/>
          <w:i/>
          <w:color w:val="000000"/>
          <w:sz w:val="20"/>
        </w:rPr>
        <w:t xml:space="preserve">Invites </w:t>
      </w:r>
      <w:r w:rsidRPr="00851B6C">
        <w:rPr>
          <w:rFonts w:eastAsia="Calibri"/>
          <w:color w:val="000000"/>
          <w:sz w:val="20"/>
        </w:rPr>
        <w:t>parties to transmit to the Secretariat no later than eight months before the eighth meeting of the Conference of the Parties information related to the interpretation and application of Article 4 of the Convention, for consideration and further discussion by the Conference of the Parties at its eighth meeting;</w:t>
      </w:r>
    </w:p>
    <w:p w:rsidR="008B380A" w:rsidRPr="00851B6C" w:rsidRDefault="008B380A" w:rsidP="008B380A">
      <w:pPr>
        <w:tabs>
          <w:tab w:val="left" w:pos="624"/>
          <w:tab w:val="left" w:pos="1247"/>
        </w:tabs>
        <w:autoSpaceDE w:val="0"/>
        <w:autoSpaceDN w:val="0"/>
        <w:adjustRightInd w:val="0"/>
        <w:spacing w:after="120"/>
        <w:ind w:left="1247" w:firstLine="624"/>
        <w:rPr>
          <w:rFonts w:eastAsia="Calibri"/>
          <w:color w:val="000000"/>
          <w:sz w:val="20"/>
        </w:rPr>
      </w:pPr>
      <w:r w:rsidRPr="00851B6C">
        <w:rPr>
          <w:rFonts w:eastAsia="Calibri"/>
          <w:color w:val="000000"/>
          <w:sz w:val="20"/>
        </w:rPr>
        <w:t>12.</w:t>
      </w:r>
      <w:r w:rsidRPr="00851B6C">
        <w:rPr>
          <w:rFonts w:eastAsia="Calibri"/>
          <w:color w:val="000000"/>
          <w:sz w:val="20"/>
        </w:rPr>
        <w:tab/>
      </w:r>
      <w:r w:rsidRPr="00851B6C">
        <w:rPr>
          <w:rFonts w:eastAsia="Calibri"/>
          <w:i/>
          <w:color w:val="000000"/>
          <w:sz w:val="20"/>
        </w:rPr>
        <w:t>Requests</w:t>
      </w:r>
      <w:r w:rsidRPr="00851B6C">
        <w:rPr>
          <w:rFonts w:eastAsia="Calibri"/>
          <w:color w:val="000000"/>
          <w:sz w:val="20"/>
        </w:rPr>
        <w:t xml:space="preserve"> the Secretariat to compile the information provided by parties </w:t>
      </w:r>
      <w:r>
        <w:rPr>
          <w:rFonts w:eastAsia="Calibri"/>
          <w:color w:val="000000"/>
          <w:sz w:val="20"/>
        </w:rPr>
        <w:t>pursuant to</w:t>
      </w:r>
      <w:r w:rsidRPr="00851B6C">
        <w:rPr>
          <w:rFonts w:eastAsia="Calibri"/>
          <w:color w:val="000000"/>
          <w:sz w:val="20"/>
        </w:rPr>
        <w:t xml:space="preserve"> paragraph 11 above and to make </w:t>
      </w:r>
      <w:r>
        <w:rPr>
          <w:rFonts w:eastAsia="Calibri"/>
          <w:color w:val="000000"/>
          <w:sz w:val="20"/>
        </w:rPr>
        <w:t>it</w:t>
      </w:r>
      <w:r w:rsidRPr="00851B6C">
        <w:rPr>
          <w:rFonts w:eastAsia="Calibri"/>
          <w:color w:val="000000"/>
          <w:sz w:val="20"/>
        </w:rPr>
        <w:t xml:space="preserve"> available on the Stockholm Convention website no later than six months before the eighth meeting of the Conference of the Parties.</w:t>
      </w:r>
    </w:p>
    <w:p w:rsidR="008B380A" w:rsidRPr="00851B6C" w:rsidRDefault="008B380A" w:rsidP="008B380A">
      <w:pPr>
        <w:tabs>
          <w:tab w:val="left" w:pos="2410"/>
        </w:tabs>
        <w:autoSpaceDE w:val="0"/>
        <w:autoSpaceDN w:val="0"/>
        <w:adjustRightInd w:val="0"/>
        <w:spacing w:before="240" w:after="120"/>
        <w:ind w:left="1276"/>
        <w:rPr>
          <w:b/>
          <w:sz w:val="28"/>
          <w:szCs w:val="28"/>
        </w:rPr>
      </w:pPr>
      <w:r w:rsidRPr="00887EB1">
        <w:rPr>
          <w:b/>
          <w:sz w:val="28"/>
          <w:szCs w:val="28"/>
        </w:rPr>
        <w:t xml:space="preserve">Annex to decision SC-7/5 </w:t>
      </w:r>
    </w:p>
    <w:p w:rsidR="008B380A" w:rsidRPr="00851B6C" w:rsidRDefault="008B380A" w:rsidP="008B380A">
      <w:pPr>
        <w:tabs>
          <w:tab w:val="left" w:pos="1247"/>
          <w:tab w:val="left" w:pos="1814"/>
          <w:tab w:val="left" w:pos="2381"/>
          <w:tab w:val="left" w:pos="2948"/>
          <w:tab w:val="left" w:pos="3515"/>
          <w:tab w:val="left" w:pos="4082"/>
        </w:tabs>
        <w:spacing w:before="120" w:after="120"/>
        <w:ind w:left="1247"/>
        <w:rPr>
          <w:b/>
          <w:bCs/>
          <w:sz w:val="28"/>
          <w:szCs w:val="26"/>
        </w:rPr>
      </w:pPr>
      <w:r w:rsidRPr="00851B6C">
        <w:rPr>
          <w:b/>
          <w:bCs/>
          <w:sz w:val="28"/>
          <w:szCs w:val="26"/>
        </w:rPr>
        <w:t xml:space="preserve">Revised schedule for the evaluation of </w:t>
      </w:r>
      <w:proofErr w:type="spellStart"/>
      <w:r w:rsidRPr="00851B6C">
        <w:rPr>
          <w:b/>
          <w:bCs/>
          <w:sz w:val="28"/>
          <w:szCs w:val="26"/>
        </w:rPr>
        <w:t>perfluorooctane</w:t>
      </w:r>
      <w:proofErr w:type="spellEnd"/>
      <w:r w:rsidRPr="00851B6C">
        <w:rPr>
          <w:b/>
          <w:bCs/>
          <w:sz w:val="28"/>
          <w:szCs w:val="26"/>
        </w:rPr>
        <w:t xml:space="preserve"> </w:t>
      </w:r>
      <w:proofErr w:type="spellStart"/>
      <w:r w:rsidRPr="00851B6C">
        <w:rPr>
          <w:b/>
          <w:bCs/>
          <w:sz w:val="28"/>
          <w:szCs w:val="26"/>
        </w:rPr>
        <w:t>sulfonic</w:t>
      </w:r>
      <w:proofErr w:type="spellEnd"/>
      <w:r w:rsidRPr="00851B6C">
        <w:rPr>
          <w:b/>
          <w:bCs/>
          <w:sz w:val="28"/>
          <w:szCs w:val="26"/>
        </w:rPr>
        <w:t xml:space="preserve"> acid, its salts and </w:t>
      </w:r>
      <w:proofErr w:type="spellStart"/>
      <w:r w:rsidRPr="00851B6C">
        <w:rPr>
          <w:b/>
          <w:bCs/>
          <w:sz w:val="28"/>
          <w:szCs w:val="26"/>
        </w:rPr>
        <w:t>perfluorooctane</w:t>
      </w:r>
      <w:proofErr w:type="spellEnd"/>
      <w:r w:rsidRPr="00851B6C">
        <w:rPr>
          <w:b/>
          <w:bCs/>
          <w:sz w:val="28"/>
          <w:szCs w:val="26"/>
        </w:rPr>
        <w:t xml:space="preserve"> </w:t>
      </w:r>
      <w:proofErr w:type="spellStart"/>
      <w:r w:rsidRPr="00851B6C">
        <w:rPr>
          <w:b/>
          <w:bCs/>
          <w:sz w:val="28"/>
          <w:szCs w:val="26"/>
        </w:rPr>
        <w:t>sulfonyl</w:t>
      </w:r>
      <w:proofErr w:type="spellEnd"/>
      <w:r w:rsidRPr="00851B6C">
        <w:rPr>
          <w:b/>
          <w:bCs/>
          <w:sz w:val="28"/>
          <w:szCs w:val="26"/>
        </w:rPr>
        <w:t xml:space="preserve"> fluoride pursuant to paragraphs 5 and 6 of part III of Annex B to the Stockholm Convention on Persistent Organic Pollutant</w:t>
      </w:r>
    </w:p>
    <w:p w:rsidR="008B380A" w:rsidRPr="00851B6C" w:rsidRDefault="008B380A" w:rsidP="008B380A">
      <w:pPr>
        <w:tabs>
          <w:tab w:val="left" w:pos="624"/>
        </w:tabs>
        <w:spacing w:after="120"/>
        <w:ind w:left="1247"/>
        <w:rPr>
          <w:sz w:val="20"/>
        </w:rPr>
      </w:pPr>
      <w:r w:rsidRPr="00851B6C">
        <w:rPr>
          <w:sz w:val="20"/>
        </w:rPr>
        <w:t>1.</w:t>
      </w:r>
      <w:r w:rsidRPr="00851B6C">
        <w:rPr>
          <w:sz w:val="20"/>
        </w:rPr>
        <w:tab/>
        <w:t xml:space="preserve">The following standard schedule is applied in order to provide the Conference of the Parties with the information on which to base its evaluation of </w:t>
      </w:r>
      <w:proofErr w:type="spellStart"/>
      <w:r w:rsidRPr="00851B6C">
        <w:rPr>
          <w:sz w:val="20"/>
        </w:rPr>
        <w:t>perfluorooctane</w:t>
      </w:r>
      <w:proofErr w:type="spellEnd"/>
      <w:r w:rsidRPr="00851B6C">
        <w:rPr>
          <w:sz w:val="20"/>
        </w:rPr>
        <w:t xml:space="preserve"> </w:t>
      </w:r>
      <w:proofErr w:type="spellStart"/>
      <w:r w:rsidRPr="00851B6C">
        <w:rPr>
          <w:sz w:val="20"/>
        </w:rPr>
        <w:t>sulfonic</w:t>
      </w:r>
      <w:proofErr w:type="spellEnd"/>
      <w:r w:rsidRPr="00851B6C">
        <w:rPr>
          <w:sz w:val="20"/>
        </w:rPr>
        <w:t xml:space="preserve"> acid (PFOS), its salts and </w:t>
      </w:r>
      <w:proofErr w:type="spellStart"/>
      <w:r w:rsidRPr="00851B6C">
        <w:rPr>
          <w:sz w:val="20"/>
        </w:rPr>
        <w:t>perfluorooctane</w:t>
      </w:r>
      <w:proofErr w:type="spellEnd"/>
      <w:r w:rsidRPr="00851B6C">
        <w:rPr>
          <w:sz w:val="20"/>
        </w:rPr>
        <w:t xml:space="preserve"> </w:t>
      </w:r>
      <w:proofErr w:type="spellStart"/>
      <w:r w:rsidRPr="00851B6C">
        <w:rPr>
          <w:sz w:val="20"/>
        </w:rPr>
        <w:t>sulfonyl</w:t>
      </w:r>
      <w:proofErr w:type="spellEnd"/>
      <w:r w:rsidRPr="00851B6C">
        <w:rPr>
          <w:sz w:val="20"/>
        </w:rPr>
        <w:t xml:space="preserve"> fluoride (PFOSF) pursuant to paragraphs 5 and 6 of part III of Annex B to the Convention, which is to take place every four years. </w:t>
      </w:r>
    </w:p>
    <w:p w:rsidR="008B380A" w:rsidRPr="00851B6C" w:rsidRDefault="008B380A" w:rsidP="008B380A">
      <w:pPr>
        <w:tabs>
          <w:tab w:val="left" w:pos="624"/>
        </w:tabs>
        <w:spacing w:after="120"/>
        <w:ind w:left="1247"/>
        <w:rPr>
          <w:sz w:val="20"/>
        </w:rPr>
      </w:pPr>
      <w:r w:rsidRPr="00851B6C">
        <w:rPr>
          <w:sz w:val="20"/>
        </w:rPr>
        <w:t>2.</w:t>
      </w:r>
      <w:r w:rsidRPr="00851B6C">
        <w:rPr>
          <w:sz w:val="20"/>
        </w:rPr>
        <w:tab/>
        <w:t>The year</w:t>
      </w:r>
      <w:r>
        <w:rPr>
          <w:sz w:val="20"/>
        </w:rPr>
        <w:t xml:space="preserve"> in which a given</w:t>
      </w:r>
      <w:r w:rsidRPr="00851B6C">
        <w:rPr>
          <w:sz w:val="20"/>
        </w:rPr>
        <w:t xml:space="preserve"> evaluation is to take place is referred to as “year 4”. </w:t>
      </w:r>
      <w:r>
        <w:rPr>
          <w:sz w:val="20"/>
        </w:rPr>
        <w:t>The</w:t>
      </w:r>
      <w:r w:rsidRPr="00851B6C">
        <w:rPr>
          <w:sz w:val="20"/>
        </w:rPr>
        <w:t xml:space="preserve"> year before </w:t>
      </w:r>
      <w:r>
        <w:rPr>
          <w:sz w:val="20"/>
        </w:rPr>
        <w:t xml:space="preserve">the year of </w:t>
      </w:r>
      <w:r w:rsidRPr="00851B6C">
        <w:rPr>
          <w:sz w:val="20"/>
        </w:rPr>
        <w:t xml:space="preserve">the evaluation is referred to as “year 3” and </w:t>
      </w:r>
      <w:r>
        <w:rPr>
          <w:sz w:val="20"/>
        </w:rPr>
        <w:t xml:space="preserve">the year </w:t>
      </w:r>
      <w:r w:rsidRPr="00851B6C">
        <w:rPr>
          <w:sz w:val="20"/>
        </w:rPr>
        <w:t xml:space="preserve">two years before the </w:t>
      </w:r>
      <w:r>
        <w:rPr>
          <w:sz w:val="20"/>
        </w:rPr>
        <w:t xml:space="preserve">year of the </w:t>
      </w:r>
      <w:r w:rsidRPr="00851B6C">
        <w:rPr>
          <w:sz w:val="20"/>
        </w:rPr>
        <w:t xml:space="preserve">evaluation </w:t>
      </w:r>
      <w:proofErr w:type="gramStart"/>
      <w:r w:rsidRPr="00851B6C">
        <w:rPr>
          <w:sz w:val="20"/>
        </w:rPr>
        <w:t>is</w:t>
      </w:r>
      <w:proofErr w:type="gramEnd"/>
      <w:r w:rsidRPr="00851B6C">
        <w:rPr>
          <w:sz w:val="20"/>
        </w:rPr>
        <w:t xml:space="preserve"> referred to as “year 2”. For example, in the case of the evaluation to take place at the ninth meeting of the Conference of the Parties in 2019, year 2 refers to 2017, year 3 refers to 2018 and year 4 refers to 2019.</w:t>
      </w:r>
    </w:p>
    <w:tbl>
      <w:tblPr>
        <w:tblW w:w="8221" w:type="dxa"/>
        <w:tblInd w:w="1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88"/>
        <w:gridCol w:w="2933"/>
      </w:tblGrid>
      <w:tr w:rsidR="008B380A" w:rsidRPr="00851B6C" w:rsidTr="00D738FE">
        <w:trPr>
          <w:cantSplit/>
        </w:trPr>
        <w:tc>
          <w:tcPr>
            <w:tcW w:w="5288" w:type="dxa"/>
          </w:tcPr>
          <w:p w:rsidR="008B380A" w:rsidRPr="00851B6C" w:rsidRDefault="008B380A" w:rsidP="00D738FE">
            <w:pPr>
              <w:keepNext/>
              <w:keepLines/>
              <w:tabs>
                <w:tab w:val="left" w:pos="1247"/>
                <w:tab w:val="left" w:pos="1814"/>
                <w:tab w:val="left" w:pos="2381"/>
                <w:tab w:val="left" w:pos="2948"/>
                <w:tab w:val="left" w:pos="3515"/>
                <w:tab w:val="left" w:pos="4082"/>
              </w:tabs>
              <w:spacing w:before="40" w:after="40"/>
              <w:jc w:val="center"/>
              <w:rPr>
                <w:i/>
                <w:sz w:val="20"/>
              </w:rPr>
            </w:pPr>
            <w:r w:rsidRPr="00851B6C">
              <w:rPr>
                <w:i/>
                <w:sz w:val="20"/>
              </w:rPr>
              <w:lastRenderedPageBreak/>
              <w:t>Activity</w:t>
            </w:r>
          </w:p>
        </w:tc>
        <w:tc>
          <w:tcPr>
            <w:tcW w:w="2933" w:type="dxa"/>
          </w:tcPr>
          <w:p w:rsidR="008B380A" w:rsidRPr="00851B6C" w:rsidRDefault="008B380A" w:rsidP="00D738FE">
            <w:pPr>
              <w:keepNext/>
              <w:keepLines/>
              <w:tabs>
                <w:tab w:val="left" w:pos="1247"/>
                <w:tab w:val="left" w:pos="1814"/>
                <w:tab w:val="left" w:pos="2381"/>
                <w:tab w:val="left" w:pos="2948"/>
                <w:tab w:val="left" w:pos="3515"/>
                <w:tab w:val="left" w:pos="4082"/>
              </w:tabs>
              <w:spacing w:before="40" w:after="40"/>
              <w:jc w:val="center"/>
              <w:rPr>
                <w:i/>
                <w:sz w:val="20"/>
              </w:rPr>
            </w:pPr>
            <w:r w:rsidRPr="00851B6C">
              <w:rPr>
                <w:i/>
                <w:sz w:val="20"/>
              </w:rPr>
              <w:t>Timing</w:t>
            </w:r>
          </w:p>
        </w:tc>
      </w:tr>
      <w:tr w:rsidR="008B380A" w:rsidRPr="00851B6C" w:rsidTr="00D738FE">
        <w:trPr>
          <w:cantSplit/>
        </w:trPr>
        <w:tc>
          <w:tcPr>
            <w:tcW w:w="5288" w:type="dxa"/>
          </w:tcPr>
          <w:p w:rsidR="008B380A" w:rsidRPr="00851B6C" w:rsidRDefault="008B380A" w:rsidP="00D738FE">
            <w:pPr>
              <w:keepNext/>
              <w:keepLines/>
              <w:tabs>
                <w:tab w:val="left" w:pos="1247"/>
                <w:tab w:val="left" w:pos="1814"/>
                <w:tab w:val="left" w:pos="2381"/>
                <w:tab w:val="left" w:pos="2948"/>
                <w:tab w:val="left" w:pos="3515"/>
                <w:tab w:val="left" w:pos="4082"/>
              </w:tabs>
              <w:spacing w:before="40" w:after="40"/>
              <w:rPr>
                <w:sz w:val="20"/>
              </w:rPr>
            </w:pPr>
            <w:r w:rsidRPr="00851B6C">
              <w:rPr>
                <w:sz w:val="20"/>
              </w:rPr>
              <w:t>The Persistent Organic Pollutants Review Committee develops terms of reference for the assessment of alternatives to PFOS, its salts and PFOSF on the basis of information specified in paragraph 5 (c) of part III of Annex B.</w:t>
            </w:r>
          </w:p>
        </w:tc>
        <w:tc>
          <w:tcPr>
            <w:tcW w:w="2933" w:type="dxa"/>
          </w:tcPr>
          <w:p w:rsidR="008B380A" w:rsidRPr="00851B6C" w:rsidRDefault="008B380A" w:rsidP="00D738FE">
            <w:pPr>
              <w:keepNext/>
              <w:keepLines/>
              <w:tabs>
                <w:tab w:val="left" w:pos="1247"/>
                <w:tab w:val="left" w:pos="1814"/>
                <w:tab w:val="left" w:pos="2381"/>
                <w:tab w:val="left" w:pos="2948"/>
                <w:tab w:val="left" w:pos="3515"/>
                <w:tab w:val="left" w:pos="4082"/>
              </w:tabs>
              <w:spacing w:before="40" w:after="40"/>
              <w:rPr>
                <w:sz w:val="20"/>
              </w:rPr>
            </w:pPr>
            <w:r w:rsidRPr="00851B6C">
              <w:rPr>
                <w:sz w:val="20"/>
              </w:rPr>
              <w:t>October, year 2</w:t>
            </w:r>
          </w:p>
        </w:tc>
      </w:tr>
      <w:tr w:rsidR="008B380A" w:rsidRPr="00851B6C" w:rsidTr="00D738FE">
        <w:trPr>
          <w:cantSplit/>
        </w:trPr>
        <w:tc>
          <w:tcPr>
            <w:tcW w:w="5288" w:type="dxa"/>
          </w:tcPr>
          <w:p w:rsidR="008B380A" w:rsidRPr="00851B6C" w:rsidRDefault="008B380A" w:rsidP="00D738FE">
            <w:pPr>
              <w:keepNext/>
              <w:keepLines/>
              <w:tabs>
                <w:tab w:val="left" w:pos="1247"/>
                <w:tab w:val="left" w:pos="1814"/>
                <w:tab w:val="left" w:pos="2381"/>
                <w:tab w:val="left" w:pos="2948"/>
                <w:tab w:val="left" w:pos="3515"/>
                <w:tab w:val="left" w:pos="4082"/>
              </w:tabs>
              <w:spacing w:before="40" w:after="40"/>
              <w:rPr>
                <w:sz w:val="20"/>
              </w:rPr>
            </w:pPr>
            <w:r w:rsidRPr="00851B6C">
              <w:rPr>
                <w:sz w:val="20"/>
              </w:rPr>
              <w:t>The Secretariat invites parties to submit information on alternatives to PFOS, its salts and PFOSF.</w:t>
            </w:r>
          </w:p>
        </w:tc>
        <w:tc>
          <w:tcPr>
            <w:tcW w:w="2933" w:type="dxa"/>
          </w:tcPr>
          <w:p w:rsidR="008B380A" w:rsidRPr="00851B6C" w:rsidRDefault="008B380A" w:rsidP="00D738FE">
            <w:pPr>
              <w:keepNext/>
              <w:keepLines/>
              <w:tabs>
                <w:tab w:val="left" w:pos="1247"/>
                <w:tab w:val="left" w:pos="1814"/>
                <w:tab w:val="left" w:pos="2381"/>
                <w:tab w:val="left" w:pos="2948"/>
                <w:tab w:val="left" w:pos="3515"/>
                <w:tab w:val="left" w:pos="4082"/>
              </w:tabs>
              <w:spacing w:before="40" w:after="40"/>
              <w:rPr>
                <w:sz w:val="20"/>
              </w:rPr>
            </w:pPr>
            <w:r w:rsidRPr="00851B6C">
              <w:rPr>
                <w:sz w:val="20"/>
              </w:rPr>
              <w:t>November, year 2</w:t>
            </w:r>
          </w:p>
        </w:tc>
      </w:tr>
      <w:tr w:rsidR="008B380A" w:rsidRPr="00851B6C" w:rsidTr="00D738FE">
        <w:tc>
          <w:tcPr>
            <w:tcW w:w="5288" w:type="dxa"/>
          </w:tcPr>
          <w:p w:rsidR="008B380A" w:rsidRPr="00851B6C" w:rsidRDefault="008B380A" w:rsidP="00D738FE">
            <w:pPr>
              <w:keepNext/>
              <w:keepLines/>
              <w:tabs>
                <w:tab w:val="left" w:pos="1247"/>
                <w:tab w:val="left" w:pos="1814"/>
                <w:tab w:val="left" w:pos="2381"/>
                <w:tab w:val="left" w:pos="2948"/>
                <w:tab w:val="left" w:pos="3515"/>
                <w:tab w:val="left" w:pos="4082"/>
              </w:tabs>
              <w:spacing w:before="40" w:after="40"/>
              <w:rPr>
                <w:sz w:val="20"/>
              </w:rPr>
            </w:pPr>
            <w:r w:rsidRPr="00851B6C">
              <w:rPr>
                <w:sz w:val="20"/>
              </w:rPr>
              <w:t>Deadline for submission of information on alternatives to PFOS, its salts and PFOSF</w:t>
            </w:r>
          </w:p>
        </w:tc>
        <w:tc>
          <w:tcPr>
            <w:tcW w:w="2933" w:type="dxa"/>
          </w:tcPr>
          <w:p w:rsidR="008B380A" w:rsidRPr="00851B6C" w:rsidRDefault="008B380A" w:rsidP="00D738FE">
            <w:pPr>
              <w:keepNext/>
              <w:keepLines/>
              <w:tabs>
                <w:tab w:val="left" w:pos="1247"/>
                <w:tab w:val="left" w:pos="1814"/>
                <w:tab w:val="left" w:pos="2381"/>
                <w:tab w:val="left" w:pos="2948"/>
                <w:tab w:val="left" w:pos="3515"/>
                <w:tab w:val="left" w:pos="4082"/>
              </w:tabs>
              <w:spacing w:before="40" w:after="40"/>
              <w:rPr>
                <w:sz w:val="20"/>
              </w:rPr>
            </w:pPr>
            <w:r w:rsidRPr="00851B6C">
              <w:rPr>
                <w:sz w:val="20"/>
              </w:rPr>
              <w:t>February, year 3</w:t>
            </w:r>
          </w:p>
        </w:tc>
      </w:tr>
      <w:tr w:rsidR="008B380A" w:rsidRPr="00851B6C" w:rsidTr="00D738FE">
        <w:trPr>
          <w:cantSplit/>
        </w:trPr>
        <w:tc>
          <w:tcPr>
            <w:tcW w:w="5288" w:type="dxa"/>
          </w:tcPr>
          <w:p w:rsidR="008B380A" w:rsidRPr="00851B6C" w:rsidRDefault="008B380A" w:rsidP="00D738FE">
            <w:pPr>
              <w:keepNext/>
              <w:keepLines/>
              <w:tabs>
                <w:tab w:val="left" w:pos="1247"/>
                <w:tab w:val="left" w:pos="1814"/>
                <w:tab w:val="left" w:pos="2381"/>
                <w:tab w:val="left" w:pos="2948"/>
                <w:tab w:val="left" w:pos="3515"/>
                <w:tab w:val="left" w:pos="4082"/>
              </w:tabs>
              <w:spacing w:before="40" w:after="40"/>
              <w:rPr>
                <w:sz w:val="20"/>
              </w:rPr>
            </w:pPr>
            <w:r w:rsidRPr="00851B6C">
              <w:rPr>
                <w:sz w:val="20"/>
              </w:rPr>
              <w:t>The Secretariat prepares a preliminary report on the assessment of information on alternatives to PFOS, its salts and PFOSF and submits it to the Persistent Organic Pollutants Review Committee.</w:t>
            </w:r>
          </w:p>
        </w:tc>
        <w:tc>
          <w:tcPr>
            <w:tcW w:w="2933" w:type="dxa"/>
          </w:tcPr>
          <w:p w:rsidR="008B380A" w:rsidRPr="00851B6C" w:rsidRDefault="008B380A" w:rsidP="00D738FE">
            <w:pPr>
              <w:keepNext/>
              <w:keepLines/>
              <w:tabs>
                <w:tab w:val="left" w:pos="1247"/>
                <w:tab w:val="left" w:pos="1814"/>
                <w:tab w:val="left" w:pos="2381"/>
                <w:tab w:val="left" w:pos="2948"/>
                <w:tab w:val="left" w:pos="3515"/>
                <w:tab w:val="left" w:pos="4082"/>
              </w:tabs>
              <w:spacing w:before="40" w:after="40"/>
              <w:rPr>
                <w:sz w:val="20"/>
              </w:rPr>
            </w:pPr>
            <w:r w:rsidRPr="00851B6C">
              <w:rPr>
                <w:sz w:val="20"/>
              </w:rPr>
              <w:t>June, year 3</w:t>
            </w:r>
          </w:p>
        </w:tc>
      </w:tr>
      <w:tr w:rsidR="008B380A" w:rsidRPr="00887EB1" w:rsidTr="00D738FE">
        <w:trPr>
          <w:cantSplit/>
        </w:trPr>
        <w:tc>
          <w:tcPr>
            <w:tcW w:w="5288" w:type="dxa"/>
          </w:tcPr>
          <w:p w:rsidR="008B380A" w:rsidRPr="00887EB1" w:rsidRDefault="008B380A" w:rsidP="00D738FE">
            <w:pPr>
              <w:tabs>
                <w:tab w:val="left" w:pos="1247"/>
                <w:tab w:val="left" w:pos="1814"/>
                <w:tab w:val="left" w:pos="2381"/>
                <w:tab w:val="left" w:pos="2948"/>
                <w:tab w:val="left" w:pos="3515"/>
                <w:tab w:val="left" w:pos="4082"/>
              </w:tabs>
              <w:spacing w:before="40" w:after="40"/>
              <w:rPr>
                <w:b/>
                <w:sz w:val="20"/>
              </w:rPr>
            </w:pPr>
            <w:r w:rsidRPr="00564332">
              <w:rPr>
                <w:sz w:val="20"/>
              </w:rPr>
              <w:t>Parties submit information on PFOS in the process of reporting under Article 15 and other information specified in paragraph 5 (d) of part III of Annex B.</w:t>
            </w:r>
            <w:r>
              <w:rPr>
                <w:sz w:val="20"/>
              </w:rPr>
              <w:t xml:space="preserve"> </w:t>
            </w:r>
          </w:p>
        </w:tc>
        <w:tc>
          <w:tcPr>
            <w:tcW w:w="2933" w:type="dxa"/>
          </w:tcPr>
          <w:p w:rsidR="008B380A" w:rsidRPr="00851B6C" w:rsidRDefault="008B380A" w:rsidP="00D738FE">
            <w:pPr>
              <w:tabs>
                <w:tab w:val="left" w:pos="1247"/>
                <w:tab w:val="left" w:pos="1814"/>
                <w:tab w:val="left" w:pos="2381"/>
                <w:tab w:val="left" w:pos="2948"/>
                <w:tab w:val="left" w:pos="3515"/>
                <w:tab w:val="left" w:pos="4082"/>
              </w:tabs>
              <w:spacing w:before="40" w:after="40"/>
              <w:rPr>
                <w:sz w:val="20"/>
              </w:rPr>
            </w:pPr>
            <w:r w:rsidRPr="00851B6C">
              <w:rPr>
                <w:sz w:val="20"/>
              </w:rPr>
              <w:t>August, year 3 (in accordance with the decision on national reporting)</w:t>
            </w:r>
          </w:p>
        </w:tc>
      </w:tr>
      <w:tr w:rsidR="008B380A" w:rsidRPr="00851B6C" w:rsidTr="00D738FE">
        <w:trPr>
          <w:cantSplit/>
        </w:trPr>
        <w:tc>
          <w:tcPr>
            <w:tcW w:w="5288" w:type="dxa"/>
          </w:tcPr>
          <w:p w:rsidR="008B380A" w:rsidRPr="00851B6C" w:rsidRDefault="008B380A" w:rsidP="00D738FE">
            <w:pPr>
              <w:tabs>
                <w:tab w:val="left" w:pos="1247"/>
                <w:tab w:val="left" w:pos="1814"/>
                <w:tab w:val="left" w:pos="2381"/>
                <w:tab w:val="left" w:pos="2948"/>
                <w:tab w:val="left" w:pos="3515"/>
                <w:tab w:val="left" w:pos="4082"/>
              </w:tabs>
              <w:spacing w:before="40" w:after="40"/>
              <w:rPr>
                <w:sz w:val="20"/>
              </w:rPr>
            </w:pPr>
            <w:r w:rsidRPr="00851B6C">
              <w:rPr>
                <w:sz w:val="20"/>
              </w:rPr>
              <w:t xml:space="preserve">The Secretariat prepares a draft report for the evaluation of PFOS, its salts and PFOSF and submits it to the Persistent Organic Pollutants Review Committee. </w:t>
            </w:r>
          </w:p>
        </w:tc>
        <w:tc>
          <w:tcPr>
            <w:tcW w:w="2933" w:type="dxa"/>
          </w:tcPr>
          <w:p w:rsidR="008B380A" w:rsidRPr="00851B6C" w:rsidRDefault="008B380A" w:rsidP="00D738FE">
            <w:pPr>
              <w:tabs>
                <w:tab w:val="left" w:pos="1247"/>
                <w:tab w:val="left" w:pos="1814"/>
                <w:tab w:val="left" w:pos="2381"/>
                <w:tab w:val="left" w:pos="2948"/>
                <w:tab w:val="left" w:pos="3515"/>
                <w:tab w:val="left" w:pos="4082"/>
              </w:tabs>
              <w:spacing w:before="40" w:after="40"/>
              <w:rPr>
                <w:sz w:val="20"/>
              </w:rPr>
            </w:pPr>
            <w:r w:rsidRPr="00851B6C">
              <w:rPr>
                <w:sz w:val="20"/>
              </w:rPr>
              <w:t>September, year 3</w:t>
            </w:r>
          </w:p>
        </w:tc>
      </w:tr>
      <w:tr w:rsidR="008B380A" w:rsidRPr="00851B6C" w:rsidTr="00D738FE">
        <w:trPr>
          <w:cantSplit/>
        </w:trPr>
        <w:tc>
          <w:tcPr>
            <w:tcW w:w="5288" w:type="dxa"/>
          </w:tcPr>
          <w:p w:rsidR="008B380A" w:rsidRPr="00851B6C" w:rsidRDefault="008B380A" w:rsidP="00D738FE">
            <w:pPr>
              <w:tabs>
                <w:tab w:val="left" w:pos="1247"/>
                <w:tab w:val="left" w:pos="1814"/>
                <w:tab w:val="left" w:pos="2381"/>
                <w:tab w:val="left" w:pos="2948"/>
                <w:tab w:val="left" w:pos="3515"/>
                <w:tab w:val="left" w:pos="4082"/>
              </w:tabs>
              <w:spacing w:before="40" w:after="40"/>
              <w:rPr>
                <w:sz w:val="20"/>
              </w:rPr>
            </w:pPr>
            <w:r w:rsidRPr="00851B6C">
              <w:rPr>
                <w:sz w:val="20"/>
              </w:rPr>
              <w:t xml:space="preserve">The Persistent Organic Pollutants Review Committee completes the report on the assessment of alternatives to PFOS, its salts and PFOSF for consideration by the Conference of the Parties and provides comments </w:t>
            </w:r>
            <w:r w:rsidRPr="00C15C4F">
              <w:rPr>
                <w:sz w:val="20"/>
              </w:rPr>
              <w:t>on the draft report on the evaluation of PFOS, its salts and PFOSF prepared</w:t>
            </w:r>
            <w:r>
              <w:rPr>
                <w:sz w:val="20"/>
              </w:rPr>
              <w:t xml:space="preserve"> by the Secretariat</w:t>
            </w:r>
            <w:r w:rsidRPr="00851B6C">
              <w:rPr>
                <w:sz w:val="20"/>
              </w:rPr>
              <w:t xml:space="preserve">. </w:t>
            </w:r>
          </w:p>
        </w:tc>
        <w:tc>
          <w:tcPr>
            <w:tcW w:w="2933" w:type="dxa"/>
          </w:tcPr>
          <w:p w:rsidR="008B380A" w:rsidRPr="00851B6C" w:rsidRDefault="008B380A" w:rsidP="00D738FE">
            <w:pPr>
              <w:tabs>
                <w:tab w:val="left" w:pos="1247"/>
                <w:tab w:val="left" w:pos="1814"/>
                <w:tab w:val="left" w:pos="2381"/>
                <w:tab w:val="left" w:pos="2948"/>
                <w:tab w:val="left" w:pos="3515"/>
                <w:tab w:val="left" w:pos="4082"/>
              </w:tabs>
              <w:spacing w:before="40" w:after="40"/>
              <w:rPr>
                <w:sz w:val="20"/>
              </w:rPr>
            </w:pPr>
            <w:r w:rsidRPr="00851B6C">
              <w:rPr>
                <w:sz w:val="20"/>
              </w:rPr>
              <w:t>October, year 3</w:t>
            </w:r>
          </w:p>
        </w:tc>
      </w:tr>
      <w:tr w:rsidR="008B380A" w:rsidRPr="00851B6C" w:rsidTr="00D738FE">
        <w:trPr>
          <w:cantSplit/>
        </w:trPr>
        <w:tc>
          <w:tcPr>
            <w:tcW w:w="5288" w:type="dxa"/>
          </w:tcPr>
          <w:p w:rsidR="008B380A" w:rsidRPr="00851B6C" w:rsidRDefault="008B380A" w:rsidP="00D738FE">
            <w:pPr>
              <w:tabs>
                <w:tab w:val="left" w:pos="1247"/>
                <w:tab w:val="left" w:pos="1814"/>
                <w:tab w:val="left" w:pos="2381"/>
                <w:tab w:val="left" w:pos="2948"/>
                <w:tab w:val="left" w:pos="3515"/>
                <w:tab w:val="left" w:pos="4082"/>
              </w:tabs>
              <w:spacing w:before="40" w:after="40"/>
              <w:rPr>
                <w:sz w:val="20"/>
              </w:rPr>
            </w:pPr>
            <w:r w:rsidRPr="00851B6C">
              <w:rPr>
                <w:sz w:val="20"/>
              </w:rPr>
              <w:t xml:space="preserve">The Secretariat finalizes the report on the evaluation of PFOS, its salts and PFOSF for consideration by the Conference of the Parties. </w:t>
            </w:r>
          </w:p>
        </w:tc>
        <w:tc>
          <w:tcPr>
            <w:tcW w:w="2933" w:type="dxa"/>
          </w:tcPr>
          <w:p w:rsidR="008B380A" w:rsidRPr="00851B6C" w:rsidRDefault="008B380A" w:rsidP="00D738FE">
            <w:pPr>
              <w:tabs>
                <w:tab w:val="left" w:pos="1247"/>
                <w:tab w:val="left" w:pos="1814"/>
                <w:tab w:val="left" w:pos="2381"/>
                <w:tab w:val="left" w:pos="2948"/>
                <w:tab w:val="left" w:pos="3515"/>
                <w:tab w:val="left" w:pos="4082"/>
              </w:tabs>
              <w:spacing w:before="40" w:after="40"/>
              <w:rPr>
                <w:sz w:val="20"/>
              </w:rPr>
            </w:pPr>
            <w:r w:rsidRPr="00851B6C">
              <w:rPr>
                <w:sz w:val="20"/>
              </w:rPr>
              <w:t>February, year 4</w:t>
            </w:r>
          </w:p>
        </w:tc>
      </w:tr>
      <w:tr w:rsidR="008B380A" w:rsidRPr="00851B6C" w:rsidTr="00D738FE">
        <w:trPr>
          <w:cantSplit/>
        </w:trPr>
        <w:tc>
          <w:tcPr>
            <w:tcW w:w="5288" w:type="dxa"/>
          </w:tcPr>
          <w:p w:rsidR="008B380A" w:rsidRPr="00851B6C" w:rsidRDefault="008B380A" w:rsidP="00D738FE">
            <w:pPr>
              <w:tabs>
                <w:tab w:val="left" w:pos="1247"/>
                <w:tab w:val="left" w:pos="1814"/>
                <w:tab w:val="left" w:pos="2381"/>
                <w:tab w:val="left" w:pos="2948"/>
                <w:tab w:val="left" w:pos="3515"/>
                <w:tab w:val="left" w:pos="4082"/>
              </w:tabs>
              <w:spacing w:before="40" w:after="40"/>
              <w:rPr>
                <w:sz w:val="20"/>
              </w:rPr>
            </w:pPr>
            <w:r w:rsidRPr="00851B6C">
              <w:rPr>
                <w:sz w:val="20"/>
              </w:rPr>
              <w:t>Evaluation by the Conference of the Parties.</w:t>
            </w:r>
          </w:p>
        </w:tc>
        <w:tc>
          <w:tcPr>
            <w:tcW w:w="2933" w:type="dxa"/>
          </w:tcPr>
          <w:p w:rsidR="008B380A" w:rsidRPr="00851B6C" w:rsidRDefault="008B380A" w:rsidP="00D738FE">
            <w:pPr>
              <w:tabs>
                <w:tab w:val="left" w:pos="1247"/>
                <w:tab w:val="left" w:pos="1814"/>
                <w:tab w:val="left" w:pos="2381"/>
                <w:tab w:val="left" w:pos="2948"/>
                <w:tab w:val="left" w:pos="3515"/>
                <w:tab w:val="left" w:pos="4082"/>
              </w:tabs>
              <w:spacing w:before="40" w:after="40"/>
              <w:rPr>
                <w:sz w:val="20"/>
              </w:rPr>
            </w:pPr>
            <w:r w:rsidRPr="00851B6C">
              <w:rPr>
                <w:sz w:val="20"/>
              </w:rPr>
              <w:t>May, year 4</w:t>
            </w:r>
          </w:p>
        </w:tc>
      </w:tr>
    </w:tbl>
    <w:p w:rsidR="008B380A" w:rsidRPr="00887EB1" w:rsidRDefault="008B380A" w:rsidP="008B380A">
      <w:pPr>
        <w:pStyle w:val="Normal-pool"/>
      </w:pPr>
    </w:p>
    <w:p w:rsidR="000B18ED" w:rsidRDefault="000B18ED" w:rsidP="008B380A"/>
    <w:sectPr w:rsidR="000B18ED" w:rsidSect="000B18ED">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7571" w:rsidRDefault="00697571" w:rsidP="008B380A">
      <w:r>
        <w:separator/>
      </w:r>
    </w:p>
  </w:endnote>
  <w:endnote w:type="continuationSeparator" w:id="0">
    <w:p w:rsidR="00697571" w:rsidRDefault="00697571" w:rsidP="008B380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7571" w:rsidRDefault="00697571" w:rsidP="008B380A">
      <w:r>
        <w:separator/>
      </w:r>
    </w:p>
  </w:footnote>
  <w:footnote w:type="continuationSeparator" w:id="0">
    <w:p w:rsidR="00697571" w:rsidRDefault="00697571" w:rsidP="008B380A">
      <w:r>
        <w:continuationSeparator/>
      </w:r>
    </w:p>
  </w:footnote>
  <w:footnote w:id="1">
    <w:p w:rsidR="008B380A" w:rsidRPr="00A16B79" w:rsidRDefault="008B380A" w:rsidP="008B380A">
      <w:pPr>
        <w:pStyle w:val="FootnoteText"/>
        <w:rPr>
          <w:lang w:val="en-US"/>
        </w:rPr>
      </w:pPr>
      <w:r w:rsidRPr="00665FE6">
        <w:rPr>
          <w:rStyle w:val="FootnoteReference"/>
        </w:rPr>
        <w:footnoteRef/>
      </w:r>
      <w:r w:rsidRPr="008A51CB">
        <w:rPr>
          <w:rStyle w:val="FootnoteReference"/>
          <w:lang w:val="en-GB"/>
        </w:rPr>
        <w:t xml:space="preserve"> </w:t>
      </w:r>
      <w:r w:rsidRPr="00A16B79">
        <w:rPr>
          <w:szCs w:val="18"/>
          <w:lang w:val="en-GB"/>
        </w:rPr>
        <w:t>UNEP/POPS/POPRC.10/INF/7/Rev.1.</w:t>
      </w:r>
    </w:p>
  </w:footnote>
  <w:footnote w:id="2">
    <w:p w:rsidR="008B380A" w:rsidRPr="00A16B79" w:rsidRDefault="008B380A" w:rsidP="008B380A">
      <w:pPr>
        <w:pStyle w:val="FootnoteText"/>
        <w:rPr>
          <w:lang w:val="en-US"/>
        </w:rPr>
      </w:pPr>
      <w:r w:rsidRPr="00665FE6">
        <w:rPr>
          <w:rStyle w:val="FootnoteReference"/>
        </w:rPr>
        <w:footnoteRef/>
      </w:r>
      <w:r w:rsidRPr="00A16B79">
        <w:rPr>
          <w:lang w:val="en-GB"/>
        </w:rPr>
        <w:t xml:space="preserve"> UNEP/POPS/COP.7/INF/11.</w:t>
      </w:r>
    </w:p>
  </w:footnote>
  <w:footnote w:id="3">
    <w:p w:rsidR="008B380A" w:rsidRPr="00A16B79" w:rsidRDefault="008B380A" w:rsidP="008B380A">
      <w:pPr>
        <w:pStyle w:val="FootnoteText"/>
        <w:rPr>
          <w:lang w:val="en-US"/>
        </w:rPr>
      </w:pPr>
      <w:r w:rsidRPr="00665FE6">
        <w:rPr>
          <w:rStyle w:val="FootnoteReference"/>
        </w:rPr>
        <w:footnoteRef/>
      </w:r>
      <w:r w:rsidRPr="00A16B79">
        <w:rPr>
          <w:lang w:val="en-GB"/>
        </w:rPr>
        <w:t xml:space="preserve"> UNEP/POPS/COP.7/INF/12.</w:t>
      </w:r>
    </w:p>
  </w:footnote>
  <w:footnote w:id="4">
    <w:p w:rsidR="008B380A" w:rsidRPr="00A16B79" w:rsidRDefault="008B380A" w:rsidP="008B380A">
      <w:pPr>
        <w:pStyle w:val="FootnoteText"/>
        <w:rPr>
          <w:lang w:val="en-US"/>
        </w:rPr>
      </w:pPr>
      <w:r w:rsidRPr="00665FE6">
        <w:rPr>
          <w:rStyle w:val="FootnoteReference"/>
        </w:rPr>
        <w:footnoteRef/>
      </w:r>
      <w:r w:rsidRPr="008A51CB">
        <w:rPr>
          <w:rStyle w:val="FootnoteReference"/>
          <w:lang w:val="en-GB"/>
        </w:rPr>
        <w:t xml:space="preserve"> </w:t>
      </w:r>
      <w:r w:rsidRPr="00A16B79">
        <w:rPr>
          <w:lang w:val="en-GB"/>
        </w:rPr>
        <w:t>UNEP/POPS/COP.7/8, annex IV.</w:t>
      </w:r>
    </w:p>
  </w:footnote>
  <w:footnote w:id="5">
    <w:p w:rsidR="008B380A" w:rsidRPr="00A16B79" w:rsidRDefault="008B380A" w:rsidP="008B380A">
      <w:pPr>
        <w:pStyle w:val="FootnoteText"/>
        <w:rPr>
          <w:szCs w:val="18"/>
          <w:lang w:val="en-GB"/>
        </w:rPr>
      </w:pPr>
      <w:r w:rsidRPr="00665FE6">
        <w:rPr>
          <w:rStyle w:val="FootnoteReference"/>
        </w:rPr>
        <w:footnoteRef/>
      </w:r>
      <w:r w:rsidRPr="00A16B79">
        <w:rPr>
          <w:szCs w:val="18"/>
          <w:lang w:val="en-GB"/>
        </w:rPr>
        <w:t xml:space="preserve"> </w:t>
      </w:r>
      <w:proofErr w:type="gramStart"/>
      <w:r w:rsidRPr="00A16B79">
        <w:rPr>
          <w:szCs w:val="18"/>
          <w:lang w:val="en-GB"/>
        </w:rPr>
        <w:t>Decision SC-4/17.</w:t>
      </w:r>
      <w:proofErr w:type="gramEnd"/>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useFELayout/>
  </w:compat>
  <w:rsids>
    <w:rsidRoot w:val="008B380A"/>
    <w:rsid w:val="00045F3B"/>
    <w:rsid w:val="0009039B"/>
    <w:rsid w:val="000B18ED"/>
    <w:rsid w:val="002508C0"/>
    <w:rsid w:val="002E3F11"/>
    <w:rsid w:val="003F0B7D"/>
    <w:rsid w:val="00475D4E"/>
    <w:rsid w:val="004B7AA0"/>
    <w:rsid w:val="0055191B"/>
    <w:rsid w:val="00697571"/>
    <w:rsid w:val="00771173"/>
    <w:rsid w:val="008B380A"/>
    <w:rsid w:val="00B33BA9"/>
    <w:rsid w:val="00BA076F"/>
    <w:rsid w:val="00BE6CAD"/>
    <w:rsid w:val="00C21410"/>
  </w:rsids>
  <m:mathPr>
    <m:mathFont m:val="Cambria Math"/>
    <m:brkBin m:val="before"/>
    <m:brkBinSub m:val="--"/>
    <m:smallFrac m:val="off"/>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380A"/>
    <w:pPr>
      <w:spacing w:after="0" w:line="240" w:lineRule="auto"/>
    </w:pPr>
    <w:rPr>
      <w:rFonts w:ascii="Times New Roman" w:eastAsia="Times New Roman" w:hAnsi="Times New Roman" w:cs="Times New Roman"/>
      <w:sz w:val="24"/>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uiPriority w:val="99"/>
    <w:rsid w:val="008B380A"/>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uiPriority w:val="99"/>
    <w:rsid w:val="008B380A"/>
    <w:rPr>
      <w:rFonts w:ascii="Times New Roman" w:hAnsi="Times New Roman" w:cs="Times New Roman"/>
      <w:color w:val="auto"/>
      <w:sz w:val="18"/>
      <w:vertAlign w:val="superscript"/>
    </w:rPr>
  </w:style>
  <w:style w:type="paragraph" w:styleId="FootnoteText">
    <w:name w:val="footnote text"/>
    <w:aliases w:val="Geneva 9,Font: Geneva 9,Boston 10,93,single space,Footnote Text Rail EIS,ft,Char,footnote3,Footnotes,Footnote ak,fn cafc,Footnotes Char Char,Footnote Text Char Char,fn Char Char,footnote text,footnote text Char Char Char Ch,Ch,9"/>
    <w:basedOn w:val="Normal"/>
    <w:link w:val="FootnoteTextChar2"/>
    <w:uiPriority w:val="99"/>
    <w:rsid w:val="008B380A"/>
    <w:pPr>
      <w:tabs>
        <w:tab w:val="left" w:pos="1247"/>
        <w:tab w:val="left" w:pos="1814"/>
        <w:tab w:val="left" w:pos="2381"/>
        <w:tab w:val="left" w:pos="2948"/>
        <w:tab w:val="left" w:pos="3515"/>
        <w:tab w:val="left" w:pos="4082"/>
      </w:tabs>
      <w:spacing w:before="20" w:after="40"/>
      <w:ind w:left="1247"/>
    </w:pPr>
    <w:rPr>
      <w:sz w:val="18"/>
      <w:lang w:val="fr-FR"/>
    </w:rPr>
  </w:style>
  <w:style w:type="character" w:customStyle="1" w:styleId="FootnoteTextChar">
    <w:name w:val="Footnote Text Char"/>
    <w:basedOn w:val="DefaultParagraphFont"/>
    <w:link w:val="FootnoteText"/>
    <w:uiPriority w:val="99"/>
    <w:semiHidden/>
    <w:rsid w:val="008B380A"/>
    <w:rPr>
      <w:rFonts w:ascii="Times New Roman" w:eastAsia="Times New Roman" w:hAnsi="Times New Roman" w:cs="Times New Roman"/>
      <w:sz w:val="20"/>
      <w:szCs w:val="20"/>
      <w:lang w:eastAsia="en-US"/>
    </w:rPr>
  </w:style>
  <w:style w:type="character" w:customStyle="1" w:styleId="FootnoteTextChar2">
    <w:name w:val="Footnote Text Char2"/>
    <w:aliases w:val="Geneva 9 Char2,Font: Geneva 9 Char2,Boston 10 Char2,93 Char1,single space Char1,Footnote Text Rail EIS Char1,ft Char1,Char Char1,footnote3 Char1,Footnotes Char1,Footnote ak Char1,fn cafc Char1,Footnotes Char Char Char1,Ch Char,9 Char"/>
    <w:link w:val="FootnoteText"/>
    <w:uiPriority w:val="99"/>
    <w:locked/>
    <w:rsid w:val="008B380A"/>
    <w:rPr>
      <w:rFonts w:ascii="Times New Roman" w:eastAsia="Times New Roman" w:hAnsi="Times New Roman" w:cs="Times New Roman"/>
      <w:sz w:val="18"/>
      <w:szCs w:val="20"/>
      <w:lang w:val="fr-FR" w:eastAsia="en-US"/>
    </w:rPr>
  </w:style>
  <w:style w:type="character" w:customStyle="1" w:styleId="Normal-poolChar">
    <w:name w:val="Normal-pool Char"/>
    <w:link w:val="Normal-pool"/>
    <w:uiPriority w:val="99"/>
    <w:locked/>
    <w:rsid w:val="008B380A"/>
    <w:rPr>
      <w:rFonts w:ascii="Times New Roman" w:eastAsia="Times New Roman" w:hAnsi="Times New Roman" w:cs="Times New Roman"/>
      <w:sz w:val="20"/>
      <w:szCs w:val="2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1429</Words>
  <Characters>8147</Characters>
  <Application>Microsoft Office Word</Application>
  <DocSecurity>0</DocSecurity>
  <Lines>67</Lines>
  <Paragraphs>19</Paragraphs>
  <ScaleCrop>false</ScaleCrop>
  <Company/>
  <LinksUpToDate>false</LinksUpToDate>
  <CharactersWithSpaces>9557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lgong</dc:creator>
  <cp:lastModifiedBy>lgong</cp:lastModifiedBy>
  <cp:revision>1</cp:revision>
  <dcterms:created xsi:type="dcterms:W3CDTF">2015-12-28T13:19:00Z</dcterms:created>
  <dcterms:modified xsi:type="dcterms:W3CDTF">2015-12-28T13:19:00Z</dcterms:modified>
</cp:coreProperties>
</file>